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1ED5E2" w14:textId="77777777" w:rsidR="0079375D" w:rsidRPr="00E97B80" w:rsidRDefault="0079375D" w:rsidP="00A459A5">
      <w:pPr>
        <w:outlineLvl w:val="0"/>
        <w:rPr>
          <w:rFonts w:ascii="HurmeGeometricSans4 Regular" w:hAnsi="HurmeGeometricSans4 Regular" w:cs="Arial"/>
          <w:b/>
          <w:bCs/>
          <w:color w:val="808080"/>
          <w:sz w:val="20"/>
          <w:szCs w:val="20"/>
        </w:rPr>
      </w:pPr>
    </w:p>
    <w:p w14:paraId="5CA1EB90" w14:textId="77777777" w:rsidR="001E1563" w:rsidRPr="00E97B80" w:rsidRDefault="001E1563" w:rsidP="008C4E70">
      <w:pPr>
        <w:autoSpaceDE w:val="0"/>
        <w:autoSpaceDN w:val="0"/>
        <w:adjustRightInd w:val="0"/>
        <w:spacing w:line="480" w:lineRule="auto"/>
        <w:jc w:val="center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</w:p>
    <w:p w14:paraId="4AD6D3D2" w14:textId="77777777" w:rsidR="001E1563" w:rsidRPr="00E97B80" w:rsidRDefault="001E1563" w:rsidP="008C4E70">
      <w:pPr>
        <w:autoSpaceDE w:val="0"/>
        <w:autoSpaceDN w:val="0"/>
        <w:adjustRightInd w:val="0"/>
        <w:spacing w:line="480" w:lineRule="auto"/>
        <w:jc w:val="center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</w:p>
    <w:p w14:paraId="74F68ECC" w14:textId="77777777" w:rsidR="001E1563" w:rsidRPr="00E97B80" w:rsidRDefault="001E1563" w:rsidP="008C4E70">
      <w:pPr>
        <w:autoSpaceDE w:val="0"/>
        <w:autoSpaceDN w:val="0"/>
        <w:adjustRightInd w:val="0"/>
        <w:spacing w:line="480" w:lineRule="auto"/>
        <w:jc w:val="center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</w:p>
    <w:p w14:paraId="31D128C3" w14:textId="77777777" w:rsidR="001E1563" w:rsidRPr="00E97B80" w:rsidRDefault="001E1563" w:rsidP="00A459A5">
      <w:pPr>
        <w:autoSpaceDE w:val="0"/>
        <w:autoSpaceDN w:val="0"/>
        <w:adjustRightInd w:val="0"/>
        <w:jc w:val="center"/>
        <w:rPr>
          <w:rFonts w:ascii="HurmeGeometricSans4 Regular" w:eastAsia="Calibri" w:hAnsi="HurmeGeometricSans4 Regular" w:cs="Calibri Light"/>
          <w:color w:val="000000"/>
          <w:sz w:val="42"/>
          <w:szCs w:val="42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42"/>
          <w:szCs w:val="42"/>
          <w:lang w:eastAsia="en-US"/>
        </w:rPr>
        <w:t>Consulta Prévia</w:t>
      </w:r>
    </w:p>
    <w:p w14:paraId="40159609" w14:textId="0F8E74C2" w:rsidR="001E1563" w:rsidRPr="00E97B80" w:rsidRDefault="001E1563" w:rsidP="00A459A5">
      <w:pPr>
        <w:autoSpaceDE w:val="0"/>
        <w:autoSpaceDN w:val="0"/>
        <w:adjustRightInd w:val="0"/>
        <w:jc w:val="center"/>
        <w:rPr>
          <w:rFonts w:ascii="HurmeGeometricSans4 Regular" w:eastAsia="Calibri" w:hAnsi="HurmeGeometricSans4 Regular" w:cs="Calibri Light"/>
          <w:color w:val="000000"/>
          <w:sz w:val="42"/>
          <w:szCs w:val="42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42"/>
          <w:szCs w:val="42"/>
          <w:lang w:eastAsia="en-US"/>
        </w:rPr>
        <w:t xml:space="preserve">N.º </w:t>
      </w:r>
      <w:r w:rsidR="00E73A3C">
        <w:rPr>
          <w:rFonts w:ascii="HurmeGeometricSans4 Regular" w:eastAsia="Calibri" w:hAnsi="HurmeGeometricSans4 Regular" w:cs="Calibri Light"/>
          <w:color w:val="000000"/>
          <w:sz w:val="42"/>
          <w:szCs w:val="42"/>
          <w:lang w:eastAsia="en-US"/>
        </w:rPr>
        <w:t>5</w:t>
      </w:r>
      <w:r w:rsidR="00D80E26">
        <w:rPr>
          <w:rFonts w:ascii="HurmeGeometricSans4 Regular" w:eastAsia="Calibri" w:hAnsi="HurmeGeometricSans4 Regular" w:cs="Calibri Light"/>
          <w:color w:val="000000"/>
          <w:sz w:val="42"/>
          <w:szCs w:val="42"/>
          <w:lang w:eastAsia="en-US"/>
        </w:rPr>
        <w:t>.2020</w:t>
      </w:r>
    </w:p>
    <w:p w14:paraId="17299EE7" w14:textId="0E7B04A2" w:rsidR="001E1563" w:rsidRDefault="001E1563" w:rsidP="006A5876">
      <w:pPr>
        <w:autoSpaceDE w:val="0"/>
        <w:autoSpaceDN w:val="0"/>
        <w:adjustRightInd w:val="0"/>
        <w:spacing w:line="360" w:lineRule="auto"/>
        <w:jc w:val="center"/>
        <w:rPr>
          <w:rFonts w:ascii="HurmeGeometricSans4 Regular" w:eastAsia="Calibri" w:hAnsi="HurmeGeometricSans4 Regular"/>
          <w:b/>
          <w:sz w:val="20"/>
          <w:szCs w:val="20"/>
          <w:lang w:eastAsia="en-US"/>
        </w:rPr>
      </w:pPr>
    </w:p>
    <w:p w14:paraId="4B572E6E" w14:textId="77777777" w:rsidR="006A5876" w:rsidRPr="00E97B80" w:rsidRDefault="006A5876" w:rsidP="006A5876">
      <w:pPr>
        <w:autoSpaceDE w:val="0"/>
        <w:autoSpaceDN w:val="0"/>
        <w:adjustRightInd w:val="0"/>
        <w:spacing w:line="360" w:lineRule="auto"/>
        <w:jc w:val="center"/>
        <w:rPr>
          <w:rFonts w:ascii="HurmeGeometricSans4 Regular" w:eastAsia="Calibri" w:hAnsi="HurmeGeometricSans4 Regular"/>
          <w:b/>
          <w:sz w:val="20"/>
          <w:szCs w:val="20"/>
          <w:lang w:eastAsia="en-US"/>
        </w:rPr>
      </w:pPr>
    </w:p>
    <w:p w14:paraId="32C1D045" w14:textId="77777777" w:rsidR="001E1563" w:rsidRPr="00E97B80" w:rsidRDefault="001E1563" w:rsidP="006A5876">
      <w:pPr>
        <w:autoSpaceDE w:val="0"/>
        <w:autoSpaceDN w:val="0"/>
        <w:adjustRightInd w:val="0"/>
        <w:spacing w:line="360" w:lineRule="auto"/>
        <w:jc w:val="center"/>
        <w:rPr>
          <w:rFonts w:ascii="HurmeGeometricSans4 Regular" w:eastAsia="Calibri" w:hAnsi="HurmeGeometricSans4 Regular" w:cs="Calibri Light"/>
          <w:b/>
          <w:color w:val="000000"/>
          <w:sz w:val="20"/>
          <w:szCs w:val="20"/>
          <w:lang w:eastAsia="en-US"/>
        </w:rPr>
      </w:pPr>
    </w:p>
    <w:p w14:paraId="4DA5AE72" w14:textId="4BD80956" w:rsidR="001E1563" w:rsidRPr="00A314FD" w:rsidRDefault="00250DA8" w:rsidP="00A314FD">
      <w:pPr>
        <w:autoSpaceDE w:val="0"/>
        <w:autoSpaceDN w:val="0"/>
        <w:adjustRightInd w:val="0"/>
        <w:spacing w:line="360" w:lineRule="auto"/>
        <w:jc w:val="center"/>
        <w:rPr>
          <w:rFonts w:ascii="HurmeGeometricSans4 Regular" w:eastAsia="Calibri" w:hAnsi="HurmeGeometricSans4 Regular" w:cs="Calibri Light"/>
          <w:b/>
          <w:bCs/>
          <w:smallCaps/>
          <w:sz w:val="28"/>
          <w:szCs w:val="28"/>
          <w:lang w:eastAsia="en-US"/>
        </w:rPr>
      </w:pPr>
      <w:r w:rsidRPr="00A314FD">
        <w:rPr>
          <w:rFonts w:ascii="HurmeGeometricSans4 Regular" w:eastAsia="Calibri" w:hAnsi="HurmeGeometricSans4 Regular" w:cs="Calibri Light"/>
          <w:b/>
          <w:bCs/>
          <w:smallCaps/>
          <w:sz w:val="28"/>
          <w:szCs w:val="28"/>
          <w:lang w:eastAsia="en-US"/>
        </w:rPr>
        <w:t xml:space="preserve">“Monitorização da ação MAP – </w:t>
      </w:r>
      <w:r w:rsidRPr="003E319D">
        <w:rPr>
          <w:rFonts w:ascii="HurmeGeometricSans4 Regular" w:eastAsia="Calibri" w:hAnsi="HurmeGeometricSans4 Regular" w:cs="Calibri Light"/>
          <w:b/>
          <w:bCs/>
          <w:i/>
          <w:iCs/>
          <w:smallCaps/>
          <w:sz w:val="28"/>
          <w:szCs w:val="28"/>
          <w:lang w:eastAsia="en-US"/>
        </w:rPr>
        <w:t>Minho Access Point</w:t>
      </w:r>
      <w:r w:rsidRPr="00A314FD">
        <w:rPr>
          <w:rFonts w:ascii="HurmeGeometricSans4 Regular" w:eastAsia="Calibri" w:hAnsi="HurmeGeometricSans4 Regular" w:cs="Calibri Light"/>
          <w:b/>
          <w:bCs/>
          <w:smallCaps/>
          <w:sz w:val="28"/>
          <w:szCs w:val="28"/>
          <w:lang w:eastAsia="en-US"/>
        </w:rPr>
        <w:t>, integrada no Piloto 4 MMTIS (</w:t>
      </w:r>
      <w:r w:rsidRPr="003E319D">
        <w:rPr>
          <w:rFonts w:ascii="HurmeGeometricSans4 Regular" w:eastAsia="Calibri" w:hAnsi="HurmeGeometricSans4 Regular" w:cs="Calibri Light"/>
          <w:b/>
          <w:bCs/>
          <w:i/>
          <w:iCs/>
          <w:smallCaps/>
          <w:sz w:val="28"/>
          <w:szCs w:val="28"/>
          <w:lang w:eastAsia="en-US"/>
        </w:rPr>
        <w:t>Multimodal Travel Information Services</w:t>
      </w:r>
      <w:r w:rsidRPr="00A314FD">
        <w:rPr>
          <w:rFonts w:ascii="HurmeGeometricSans4 Regular" w:eastAsia="Calibri" w:hAnsi="HurmeGeometricSans4 Regular" w:cs="Calibri Light"/>
          <w:b/>
          <w:bCs/>
          <w:smallCaps/>
          <w:sz w:val="28"/>
          <w:szCs w:val="28"/>
          <w:lang w:eastAsia="en-US"/>
        </w:rPr>
        <w:t xml:space="preserve">) do projeto europeu Cooperative Streets (Action nº 2018-PT-TM-0099-S), que inclua </w:t>
      </w:r>
      <w:r w:rsidR="003F1FFD">
        <w:rPr>
          <w:rFonts w:ascii="HurmeGeometricSans4 Regular" w:eastAsia="Calibri" w:hAnsi="HurmeGeometricSans4 Regular" w:cs="Calibri Light"/>
          <w:b/>
          <w:bCs/>
          <w:smallCaps/>
          <w:sz w:val="28"/>
          <w:szCs w:val="28"/>
          <w:lang w:eastAsia="en-US"/>
        </w:rPr>
        <w:t xml:space="preserve">apoio à gestão, </w:t>
      </w:r>
      <w:r w:rsidRPr="00A314FD">
        <w:rPr>
          <w:rFonts w:ascii="HurmeGeometricSans4 Regular" w:eastAsia="Calibri" w:hAnsi="HurmeGeometricSans4 Regular" w:cs="Calibri Light"/>
          <w:b/>
          <w:bCs/>
          <w:smallCaps/>
          <w:sz w:val="28"/>
          <w:szCs w:val="28"/>
          <w:lang w:eastAsia="en-US"/>
        </w:rPr>
        <w:t>acompanhamento técnico e tecnológico, administrativo e de reporte financeiro”</w:t>
      </w:r>
    </w:p>
    <w:p w14:paraId="68223463" w14:textId="637631B7" w:rsidR="001E1563" w:rsidRDefault="001E1563" w:rsidP="006A5876">
      <w:pPr>
        <w:autoSpaceDE w:val="0"/>
        <w:autoSpaceDN w:val="0"/>
        <w:adjustRightInd w:val="0"/>
        <w:spacing w:line="360" w:lineRule="auto"/>
        <w:jc w:val="center"/>
        <w:rPr>
          <w:rFonts w:ascii="HurmeGeometricSans4 Regular" w:eastAsia="Calibri" w:hAnsi="HurmeGeometricSans4 Regular"/>
          <w:color w:val="000000"/>
          <w:sz w:val="20"/>
          <w:szCs w:val="20"/>
          <w:lang w:eastAsia="en-US"/>
        </w:rPr>
      </w:pPr>
    </w:p>
    <w:p w14:paraId="485E27ED" w14:textId="5F2E7EE5" w:rsidR="006A5876" w:rsidRDefault="006A5876" w:rsidP="006A5876">
      <w:pPr>
        <w:autoSpaceDE w:val="0"/>
        <w:autoSpaceDN w:val="0"/>
        <w:adjustRightInd w:val="0"/>
        <w:spacing w:line="360" w:lineRule="auto"/>
        <w:jc w:val="center"/>
        <w:rPr>
          <w:rFonts w:ascii="HurmeGeometricSans4 Regular" w:eastAsia="Calibri" w:hAnsi="HurmeGeometricSans4 Regular"/>
          <w:color w:val="000000"/>
          <w:sz w:val="20"/>
          <w:szCs w:val="20"/>
          <w:lang w:eastAsia="en-US"/>
        </w:rPr>
      </w:pPr>
    </w:p>
    <w:p w14:paraId="15C70231" w14:textId="77777777" w:rsidR="006A5876" w:rsidRPr="00E97B80" w:rsidRDefault="006A5876" w:rsidP="006A5876">
      <w:pPr>
        <w:autoSpaceDE w:val="0"/>
        <w:autoSpaceDN w:val="0"/>
        <w:adjustRightInd w:val="0"/>
        <w:spacing w:line="360" w:lineRule="auto"/>
        <w:jc w:val="center"/>
        <w:rPr>
          <w:rFonts w:ascii="HurmeGeometricSans4 Regular" w:eastAsia="Calibri" w:hAnsi="HurmeGeometricSans4 Regular"/>
          <w:color w:val="000000"/>
          <w:sz w:val="20"/>
          <w:szCs w:val="20"/>
          <w:lang w:eastAsia="en-US"/>
        </w:rPr>
      </w:pPr>
    </w:p>
    <w:p w14:paraId="4FA57194" w14:textId="77777777" w:rsidR="001E1563" w:rsidRPr="00E97B80" w:rsidRDefault="001E1563" w:rsidP="006A5876">
      <w:pPr>
        <w:autoSpaceDE w:val="0"/>
        <w:autoSpaceDN w:val="0"/>
        <w:adjustRightInd w:val="0"/>
        <w:spacing w:line="360" w:lineRule="auto"/>
        <w:jc w:val="center"/>
        <w:rPr>
          <w:rFonts w:ascii="HurmeGeometricSans4 Regular" w:eastAsia="Calibri" w:hAnsi="HurmeGeometricSans4 Regular" w:cs="Calibri Light"/>
          <w:b/>
          <w:color w:val="000000"/>
          <w:sz w:val="20"/>
          <w:szCs w:val="20"/>
          <w:lang w:eastAsia="en-US"/>
        </w:rPr>
      </w:pPr>
    </w:p>
    <w:p w14:paraId="658F673E" w14:textId="77777777" w:rsidR="00F4120D" w:rsidRPr="00621BC9" w:rsidRDefault="00F4120D" w:rsidP="00F4120D">
      <w:pPr>
        <w:autoSpaceDE w:val="0"/>
        <w:autoSpaceDN w:val="0"/>
        <w:adjustRightInd w:val="0"/>
        <w:jc w:val="center"/>
        <w:rPr>
          <w:rFonts w:ascii="HurmeGeometricSans4 Regular" w:eastAsia="Calibri" w:hAnsi="HurmeGeometricSans4 Regular" w:cs="Calibri Light"/>
          <w:color w:val="000000"/>
          <w:sz w:val="40"/>
          <w:szCs w:val="40"/>
          <w:lang w:eastAsia="en-US"/>
        </w:rPr>
      </w:pPr>
      <w:r w:rsidRPr="00621BC9">
        <w:rPr>
          <w:rFonts w:ascii="HurmeGeometricSans4 Regular" w:eastAsia="Calibri" w:hAnsi="HurmeGeometricSans4 Regular" w:cs="Calibri Light"/>
          <w:color w:val="000000"/>
          <w:sz w:val="40"/>
          <w:szCs w:val="40"/>
          <w:lang w:eastAsia="en-US"/>
        </w:rPr>
        <w:t>CADERNO DE ENCARGOS</w:t>
      </w:r>
    </w:p>
    <w:p w14:paraId="4978AF35" w14:textId="77777777" w:rsidR="00F4120D" w:rsidRDefault="00F4120D" w:rsidP="00F4120D">
      <w:pPr>
        <w:autoSpaceDE w:val="0"/>
        <w:autoSpaceDN w:val="0"/>
        <w:adjustRightInd w:val="0"/>
        <w:spacing w:line="480" w:lineRule="auto"/>
        <w:jc w:val="center"/>
        <w:rPr>
          <w:rFonts w:ascii="HurmeGeometricSans4 Regular" w:eastAsia="Calibri" w:hAnsi="HurmeGeometricSans4 Regular" w:cs="Calibri Light"/>
          <w:b/>
          <w:color w:val="000000"/>
          <w:sz w:val="20"/>
          <w:szCs w:val="20"/>
          <w:lang w:eastAsia="en-US"/>
        </w:rPr>
      </w:pPr>
    </w:p>
    <w:p w14:paraId="35E65D7F" w14:textId="18EF83BB" w:rsidR="00F4120D" w:rsidRDefault="00F4120D" w:rsidP="00F4120D">
      <w:pPr>
        <w:autoSpaceDE w:val="0"/>
        <w:autoSpaceDN w:val="0"/>
        <w:adjustRightInd w:val="0"/>
        <w:spacing w:line="480" w:lineRule="auto"/>
        <w:jc w:val="center"/>
        <w:rPr>
          <w:rFonts w:ascii="HurmeGeometricSans4 Regular" w:eastAsia="Calibri" w:hAnsi="HurmeGeometricSans4 Regular" w:cs="Calibri Light"/>
          <w:b/>
          <w:color w:val="000000"/>
          <w:sz w:val="20"/>
          <w:szCs w:val="20"/>
          <w:lang w:eastAsia="en-US"/>
        </w:rPr>
      </w:pPr>
    </w:p>
    <w:p w14:paraId="379D4A1E" w14:textId="77777777" w:rsidR="00F4120D" w:rsidRDefault="00F4120D" w:rsidP="00F4120D">
      <w:pPr>
        <w:autoSpaceDE w:val="0"/>
        <w:autoSpaceDN w:val="0"/>
        <w:adjustRightInd w:val="0"/>
        <w:spacing w:line="480" w:lineRule="auto"/>
        <w:jc w:val="center"/>
        <w:rPr>
          <w:rFonts w:ascii="HurmeGeometricSans4 Regular" w:eastAsia="Calibri" w:hAnsi="HurmeGeometricSans4 Regular" w:cs="Calibri Light"/>
          <w:b/>
          <w:color w:val="000000"/>
          <w:sz w:val="20"/>
          <w:szCs w:val="20"/>
          <w:lang w:eastAsia="en-US"/>
        </w:rPr>
      </w:pPr>
    </w:p>
    <w:p w14:paraId="619D916C" w14:textId="77777777" w:rsidR="00F4120D" w:rsidRPr="00E97B80" w:rsidRDefault="00F4120D" w:rsidP="00F4120D">
      <w:pPr>
        <w:autoSpaceDE w:val="0"/>
        <w:autoSpaceDN w:val="0"/>
        <w:adjustRightInd w:val="0"/>
        <w:spacing w:line="480" w:lineRule="auto"/>
        <w:jc w:val="center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</w:p>
    <w:p w14:paraId="74E0D697" w14:textId="4BFF77A3" w:rsidR="00F4120D" w:rsidRPr="00621BC9" w:rsidRDefault="00E73A3C" w:rsidP="00F4120D">
      <w:pPr>
        <w:jc w:val="center"/>
        <w:rPr>
          <w:rFonts w:ascii="HurmeGeometricSans4 Regular" w:eastAsia="Calibri" w:hAnsi="HurmeGeometricSans4 Regular" w:cs="Calibri Light"/>
          <w:b/>
          <w:bCs/>
          <w:i/>
          <w:iCs/>
          <w:color w:val="000000"/>
          <w:sz w:val="32"/>
          <w:szCs w:val="32"/>
          <w:lang w:eastAsia="en-US"/>
        </w:rPr>
      </w:pPr>
      <w:r>
        <w:rPr>
          <w:rFonts w:ascii="HurmeGeometricSans4 Regular" w:eastAsia="Calibri" w:hAnsi="HurmeGeometricSans4 Regular" w:cs="Calibri Light"/>
          <w:b/>
          <w:bCs/>
          <w:color w:val="000000"/>
          <w:sz w:val="32"/>
          <w:szCs w:val="32"/>
          <w:lang w:eastAsia="en-US"/>
        </w:rPr>
        <w:t>Agosto</w:t>
      </w:r>
      <w:bookmarkStart w:id="0" w:name="_GoBack"/>
      <w:bookmarkEnd w:id="0"/>
      <w:r w:rsidR="00F4120D" w:rsidRPr="00621BC9">
        <w:rPr>
          <w:rFonts w:ascii="HurmeGeometricSans4 Regular" w:eastAsia="Calibri" w:hAnsi="HurmeGeometricSans4 Regular" w:cs="Calibri Light"/>
          <w:b/>
          <w:bCs/>
          <w:color w:val="000000"/>
          <w:sz w:val="32"/>
          <w:szCs w:val="32"/>
          <w:lang w:eastAsia="en-US"/>
        </w:rPr>
        <w:t xml:space="preserve"> de 2020</w:t>
      </w:r>
    </w:p>
    <w:p w14:paraId="20A0C787" w14:textId="77777777" w:rsidR="001E1563" w:rsidRPr="00E97B80" w:rsidRDefault="001E1563" w:rsidP="00A459A5">
      <w:pPr>
        <w:autoSpaceDE w:val="0"/>
        <w:autoSpaceDN w:val="0"/>
        <w:adjustRightInd w:val="0"/>
        <w:jc w:val="center"/>
        <w:rPr>
          <w:rFonts w:ascii="HurmeGeometricSans4 Regular" w:eastAsia="Calibri" w:hAnsi="HurmeGeometricSans4 Regular" w:cs="Calibri Light"/>
          <w:b/>
          <w:color w:val="000000"/>
          <w:sz w:val="20"/>
          <w:szCs w:val="20"/>
          <w:lang w:eastAsia="en-US"/>
        </w:rPr>
      </w:pPr>
    </w:p>
    <w:p w14:paraId="219D22D5" w14:textId="77777777" w:rsidR="001E1563" w:rsidRPr="00E97B80" w:rsidRDefault="001E1563" w:rsidP="00A459A5">
      <w:pPr>
        <w:jc w:val="both"/>
        <w:rPr>
          <w:rFonts w:ascii="HurmeGeometricSans4 Regular" w:eastAsia="Calibri" w:hAnsi="HurmeGeometricSans4 Regular"/>
          <w:b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/>
          <w:b/>
          <w:sz w:val="20"/>
          <w:szCs w:val="20"/>
          <w:lang w:eastAsia="en-US"/>
        </w:rPr>
        <w:br w:type="page"/>
      </w:r>
    </w:p>
    <w:p w14:paraId="004DC724" w14:textId="77777777" w:rsidR="00201DC6" w:rsidRDefault="00201DC6" w:rsidP="00201DC6">
      <w:pPr>
        <w:jc w:val="both"/>
        <w:rPr>
          <w:rFonts w:ascii="HurmeGeometricSans4 Regular" w:eastAsia="Calibri" w:hAnsi="HurmeGeometricSans4 Regular"/>
          <w:b/>
          <w:smallCaps/>
          <w:lang w:eastAsia="en-US"/>
        </w:rPr>
      </w:pPr>
      <w:bookmarkStart w:id="1" w:name="_Hlk5269448"/>
    </w:p>
    <w:p w14:paraId="244E04D8" w14:textId="26575B14" w:rsidR="001E1563" w:rsidRDefault="001E1563" w:rsidP="00201DC6">
      <w:pPr>
        <w:spacing w:before="120" w:after="120"/>
        <w:jc w:val="both"/>
        <w:rPr>
          <w:rFonts w:ascii="HurmeGeometricSans4 Regular" w:eastAsia="Calibri" w:hAnsi="HurmeGeometricSans4 Regular"/>
          <w:b/>
          <w:smallCaps/>
          <w:lang w:eastAsia="en-US"/>
        </w:rPr>
      </w:pPr>
      <w:r w:rsidRPr="00201DC6">
        <w:rPr>
          <w:rFonts w:ascii="HurmeGeometricSans4 Regular" w:eastAsia="Calibri" w:hAnsi="HurmeGeometricSans4 Regular"/>
          <w:b/>
          <w:smallCaps/>
          <w:lang w:eastAsia="en-US"/>
        </w:rPr>
        <w:t>Índice</w:t>
      </w:r>
      <w:bookmarkEnd w:id="1"/>
    </w:p>
    <w:p w14:paraId="3A6989A2" w14:textId="261D75B2" w:rsidR="00201DC6" w:rsidRPr="00E93194" w:rsidRDefault="001E1563">
      <w:pPr>
        <w:pStyle w:val="ndice1"/>
        <w:tabs>
          <w:tab w:val="right" w:leader="dot" w:pos="9628"/>
        </w:tabs>
        <w:rPr>
          <w:noProof/>
          <w:sz w:val="22"/>
          <w:szCs w:val="22"/>
        </w:rPr>
      </w:pPr>
      <w:r w:rsidRPr="00E97B80">
        <w:rPr>
          <w:rFonts w:ascii="HurmeGeometricSans4 Regular" w:eastAsia="Calibri" w:hAnsi="HurmeGeometricSans4 Regular"/>
          <w:b/>
          <w:sz w:val="20"/>
          <w:szCs w:val="20"/>
          <w:lang w:eastAsia="en-US"/>
        </w:rPr>
        <w:fldChar w:fldCharType="begin"/>
      </w:r>
      <w:r w:rsidRPr="00E97B80">
        <w:rPr>
          <w:rFonts w:ascii="HurmeGeometricSans4 Regular" w:eastAsia="Calibri" w:hAnsi="HurmeGeometricSans4 Regular"/>
          <w:b/>
          <w:sz w:val="20"/>
          <w:szCs w:val="20"/>
          <w:lang w:eastAsia="en-US"/>
        </w:rPr>
        <w:instrText xml:space="preserve"> TOC \o "1-3" \h \z \u </w:instrText>
      </w:r>
      <w:r w:rsidRPr="00E97B80">
        <w:rPr>
          <w:rFonts w:ascii="HurmeGeometricSans4 Regular" w:eastAsia="Calibri" w:hAnsi="HurmeGeometricSans4 Regular"/>
          <w:b/>
          <w:sz w:val="20"/>
          <w:szCs w:val="20"/>
          <w:lang w:eastAsia="en-US"/>
        </w:rPr>
        <w:fldChar w:fldCharType="separate"/>
      </w:r>
      <w:hyperlink w:anchor="_Toc45812358" w:history="1">
        <w:r w:rsidR="00201DC6" w:rsidRPr="00E93194">
          <w:rPr>
            <w:rStyle w:val="Hiperligao"/>
            <w:rFonts w:ascii="HurmeGeometricSans4 Regular" w:hAnsi="HurmeGeometricSans4 Regular"/>
            <w:smallCaps/>
            <w:noProof/>
            <w:sz w:val="22"/>
            <w:szCs w:val="22"/>
            <w:lang w:eastAsia="en-US"/>
          </w:rPr>
          <w:t>Capítulo I - Disposições Gerais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201DC6" w:rsidRPr="00E93194">
          <w:rPr>
            <w:noProof/>
            <w:webHidden/>
            <w:sz w:val="22"/>
            <w:szCs w:val="22"/>
          </w:rPr>
          <w:fldChar w:fldCharType="begin"/>
        </w:r>
        <w:r w:rsidR="00201DC6" w:rsidRPr="00E93194">
          <w:rPr>
            <w:noProof/>
            <w:webHidden/>
            <w:sz w:val="22"/>
            <w:szCs w:val="22"/>
          </w:rPr>
          <w:instrText xml:space="preserve"> PAGEREF _Toc45812358 \h </w:instrText>
        </w:r>
        <w:r w:rsidR="00201DC6" w:rsidRPr="00E93194">
          <w:rPr>
            <w:noProof/>
            <w:webHidden/>
            <w:sz w:val="22"/>
            <w:szCs w:val="22"/>
          </w:rPr>
        </w:r>
        <w:r w:rsidR="00201DC6" w:rsidRPr="00E93194">
          <w:rPr>
            <w:noProof/>
            <w:webHidden/>
            <w:sz w:val="22"/>
            <w:szCs w:val="22"/>
          </w:rPr>
          <w:fldChar w:fldCharType="separate"/>
        </w:r>
        <w:r w:rsidR="00614296">
          <w:rPr>
            <w:noProof/>
            <w:webHidden/>
            <w:sz w:val="22"/>
            <w:szCs w:val="22"/>
          </w:rPr>
          <w:t>3</w:t>
        </w:r>
        <w:r w:rsidR="00201DC6" w:rsidRPr="00E93194">
          <w:rPr>
            <w:noProof/>
            <w:webHidden/>
            <w:sz w:val="22"/>
            <w:szCs w:val="22"/>
          </w:rPr>
          <w:fldChar w:fldCharType="end"/>
        </w:r>
      </w:hyperlink>
    </w:p>
    <w:p w14:paraId="7DD1DCD8" w14:textId="34AD6413" w:rsidR="00201DC6" w:rsidRPr="00E93194" w:rsidRDefault="007A624D">
      <w:pPr>
        <w:pStyle w:val="ndice2"/>
        <w:tabs>
          <w:tab w:val="right" w:leader="dot" w:pos="9628"/>
        </w:tabs>
        <w:rPr>
          <w:noProof/>
          <w:sz w:val="22"/>
          <w:szCs w:val="22"/>
        </w:rPr>
      </w:pPr>
      <w:hyperlink w:anchor="_Toc45812359" w:history="1">
        <w:r w:rsidR="00201DC6" w:rsidRPr="00E93194">
          <w:rPr>
            <w:rStyle w:val="Hiperligao"/>
            <w:rFonts w:ascii="HurmeGeometricSans4 Regular" w:hAnsi="HurmeGeometricSans4 Regular"/>
            <w:noProof/>
            <w:sz w:val="22"/>
            <w:szCs w:val="22"/>
            <w:lang w:eastAsia="en-US"/>
          </w:rPr>
          <w:t>Cláusula 1.ª – Objeto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201DC6" w:rsidRPr="00E93194">
          <w:rPr>
            <w:noProof/>
            <w:webHidden/>
            <w:sz w:val="22"/>
            <w:szCs w:val="22"/>
          </w:rPr>
          <w:fldChar w:fldCharType="begin"/>
        </w:r>
        <w:r w:rsidR="00201DC6" w:rsidRPr="00E93194">
          <w:rPr>
            <w:noProof/>
            <w:webHidden/>
            <w:sz w:val="22"/>
            <w:szCs w:val="22"/>
          </w:rPr>
          <w:instrText xml:space="preserve"> PAGEREF _Toc45812359 \h </w:instrText>
        </w:r>
        <w:r w:rsidR="00201DC6" w:rsidRPr="00E93194">
          <w:rPr>
            <w:noProof/>
            <w:webHidden/>
            <w:sz w:val="22"/>
            <w:szCs w:val="22"/>
          </w:rPr>
        </w:r>
        <w:r w:rsidR="00201DC6" w:rsidRPr="00E93194">
          <w:rPr>
            <w:noProof/>
            <w:webHidden/>
            <w:sz w:val="22"/>
            <w:szCs w:val="22"/>
          </w:rPr>
          <w:fldChar w:fldCharType="separate"/>
        </w:r>
        <w:r w:rsidR="00614296">
          <w:rPr>
            <w:noProof/>
            <w:webHidden/>
            <w:sz w:val="22"/>
            <w:szCs w:val="22"/>
          </w:rPr>
          <w:t>3</w:t>
        </w:r>
        <w:r w:rsidR="00201DC6" w:rsidRPr="00E93194">
          <w:rPr>
            <w:noProof/>
            <w:webHidden/>
            <w:sz w:val="22"/>
            <w:szCs w:val="22"/>
          </w:rPr>
          <w:fldChar w:fldCharType="end"/>
        </w:r>
      </w:hyperlink>
    </w:p>
    <w:p w14:paraId="7712583B" w14:textId="3B9D2299" w:rsidR="00201DC6" w:rsidRPr="00E93194" w:rsidRDefault="007A624D">
      <w:pPr>
        <w:pStyle w:val="ndice2"/>
        <w:tabs>
          <w:tab w:val="right" w:leader="dot" w:pos="9628"/>
        </w:tabs>
        <w:rPr>
          <w:noProof/>
          <w:sz w:val="22"/>
          <w:szCs w:val="22"/>
        </w:rPr>
      </w:pPr>
      <w:hyperlink w:anchor="_Toc45812360" w:history="1">
        <w:r w:rsidR="00201DC6" w:rsidRPr="00E93194">
          <w:rPr>
            <w:rStyle w:val="Hiperligao"/>
            <w:rFonts w:ascii="HurmeGeometricSans4 Regular" w:hAnsi="HurmeGeometricSans4 Regular"/>
            <w:noProof/>
            <w:sz w:val="22"/>
            <w:szCs w:val="22"/>
            <w:lang w:eastAsia="en-US"/>
          </w:rPr>
          <w:t>Cláusula 2.ª – Local, Prazo e Modo da Prestação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201DC6" w:rsidRPr="00E93194">
          <w:rPr>
            <w:noProof/>
            <w:webHidden/>
            <w:sz w:val="22"/>
            <w:szCs w:val="22"/>
          </w:rPr>
          <w:fldChar w:fldCharType="begin"/>
        </w:r>
        <w:r w:rsidR="00201DC6" w:rsidRPr="00E93194">
          <w:rPr>
            <w:noProof/>
            <w:webHidden/>
            <w:sz w:val="22"/>
            <w:szCs w:val="22"/>
          </w:rPr>
          <w:instrText xml:space="preserve"> PAGEREF _Toc45812360 \h </w:instrText>
        </w:r>
        <w:r w:rsidR="00201DC6" w:rsidRPr="00E93194">
          <w:rPr>
            <w:noProof/>
            <w:webHidden/>
            <w:sz w:val="22"/>
            <w:szCs w:val="22"/>
          </w:rPr>
        </w:r>
        <w:r w:rsidR="00201DC6" w:rsidRPr="00E93194">
          <w:rPr>
            <w:noProof/>
            <w:webHidden/>
            <w:sz w:val="22"/>
            <w:szCs w:val="22"/>
          </w:rPr>
          <w:fldChar w:fldCharType="separate"/>
        </w:r>
        <w:r w:rsidR="00614296">
          <w:rPr>
            <w:noProof/>
            <w:webHidden/>
            <w:sz w:val="22"/>
            <w:szCs w:val="22"/>
          </w:rPr>
          <w:t>3</w:t>
        </w:r>
        <w:r w:rsidR="00201DC6" w:rsidRPr="00E93194">
          <w:rPr>
            <w:noProof/>
            <w:webHidden/>
            <w:sz w:val="22"/>
            <w:szCs w:val="22"/>
          </w:rPr>
          <w:fldChar w:fldCharType="end"/>
        </w:r>
      </w:hyperlink>
    </w:p>
    <w:p w14:paraId="15CFC2C0" w14:textId="73F50B5A" w:rsidR="00201DC6" w:rsidRPr="00E93194" w:rsidRDefault="007A624D">
      <w:pPr>
        <w:pStyle w:val="ndice2"/>
        <w:tabs>
          <w:tab w:val="right" w:leader="dot" w:pos="9628"/>
        </w:tabs>
        <w:rPr>
          <w:noProof/>
          <w:sz w:val="22"/>
          <w:szCs w:val="22"/>
        </w:rPr>
      </w:pPr>
      <w:hyperlink w:anchor="_Toc45812361" w:history="1">
        <w:r w:rsidR="00201DC6" w:rsidRPr="00E93194">
          <w:rPr>
            <w:rStyle w:val="Hiperligao"/>
            <w:rFonts w:ascii="HurmeGeometricSans4 Regular" w:hAnsi="HurmeGeometricSans4 Regular"/>
            <w:noProof/>
            <w:sz w:val="22"/>
            <w:szCs w:val="22"/>
            <w:lang w:eastAsia="en-US"/>
          </w:rPr>
          <w:t>Cláusula 3.ª – Contrato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201DC6" w:rsidRPr="00E93194">
          <w:rPr>
            <w:noProof/>
            <w:webHidden/>
            <w:sz w:val="22"/>
            <w:szCs w:val="22"/>
          </w:rPr>
          <w:fldChar w:fldCharType="begin"/>
        </w:r>
        <w:r w:rsidR="00201DC6" w:rsidRPr="00E93194">
          <w:rPr>
            <w:noProof/>
            <w:webHidden/>
            <w:sz w:val="22"/>
            <w:szCs w:val="22"/>
          </w:rPr>
          <w:instrText xml:space="preserve"> PAGEREF _Toc45812361 \h </w:instrText>
        </w:r>
        <w:r w:rsidR="00201DC6" w:rsidRPr="00E93194">
          <w:rPr>
            <w:noProof/>
            <w:webHidden/>
            <w:sz w:val="22"/>
            <w:szCs w:val="22"/>
          </w:rPr>
        </w:r>
        <w:r w:rsidR="00201DC6" w:rsidRPr="00E93194">
          <w:rPr>
            <w:noProof/>
            <w:webHidden/>
            <w:sz w:val="22"/>
            <w:szCs w:val="22"/>
          </w:rPr>
          <w:fldChar w:fldCharType="separate"/>
        </w:r>
        <w:r w:rsidR="00614296">
          <w:rPr>
            <w:noProof/>
            <w:webHidden/>
            <w:sz w:val="22"/>
            <w:szCs w:val="22"/>
          </w:rPr>
          <w:t>3</w:t>
        </w:r>
        <w:r w:rsidR="00201DC6" w:rsidRPr="00E93194">
          <w:rPr>
            <w:noProof/>
            <w:webHidden/>
            <w:sz w:val="22"/>
            <w:szCs w:val="22"/>
          </w:rPr>
          <w:fldChar w:fldCharType="end"/>
        </w:r>
      </w:hyperlink>
    </w:p>
    <w:p w14:paraId="5E6F0834" w14:textId="0CA6ADB3" w:rsidR="00201DC6" w:rsidRPr="00E93194" w:rsidRDefault="007A624D">
      <w:pPr>
        <w:pStyle w:val="ndice1"/>
        <w:tabs>
          <w:tab w:val="right" w:leader="dot" w:pos="9628"/>
        </w:tabs>
        <w:rPr>
          <w:noProof/>
          <w:sz w:val="22"/>
          <w:szCs w:val="22"/>
        </w:rPr>
      </w:pPr>
      <w:hyperlink w:anchor="_Toc45812362" w:history="1">
        <w:r w:rsidR="00201DC6" w:rsidRPr="00E93194">
          <w:rPr>
            <w:rStyle w:val="Hiperligao"/>
            <w:rFonts w:ascii="HurmeGeometricSans4 Regular" w:hAnsi="HurmeGeometricSans4 Regular"/>
            <w:smallCaps/>
            <w:noProof/>
            <w:sz w:val="22"/>
            <w:szCs w:val="22"/>
            <w:lang w:eastAsia="en-US"/>
          </w:rPr>
          <w:t>Capítulo II – Obrigações das Partes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201DC6" w:rsidRPr="00E93194">
          <w:rPr>
            <w:noProof/>
            <w:webHidden/>
            <w:sz w:val="22"/>
            <w:szCs w:val="22"/>
          </w:rPr>
          <w:fldChar w:fldCharType="begin"/>
        </w:r>
        <w:r w:rsidR="00201DC6" w:rsidRPr="00E93194">
          <w:rPr>
            <w:noProof/>
            <w:webHidden/>
            <w:sz w:val="22"/>
            <w:szCs w:val="22"/>
          </w:rPr>
          <w:instrText xml:space="preserve"> PAGEREF _Toc45812362 \h </w:instrText>
        </w:r>
        <w:r w:rsidR="00201DC6" w:rsidRPr="00E93194">
          <w:rPr>
            <w:noProof/>
            <w:webHidden/>
            <w:sz w:val="22"/>
            <w:szCs w:val="22"/>
          </w:rPr>
        </w:r>
        <w:r w:rsidR="00201DC6" w:rsidRPr="00E93194">
          <w:rPr>
            <w:noProof/>
            <w:webHidden/>
            <w:sz w:val="22"/>
            <w:szCs w:val="22"/>
          </w:rPr>
          <w:fldChar w:fldCharType="separate"/>
        </w:r>
        <w:r w:rsidR="00614296">
          <w:rPr>
            <w:noProof/>
            <w:webHidden/>
            <w:sz w:val="22"/>
            <w:szCs w:val="22"/>
          </w:rPr>
          <w:t>3</w:t>
        </w:r>
        <w:r w:rsidR="00201DC6" w:rsidRPr="00E93194">
          <w:rPr>
            <w:noProof/>
            <w:webHidden/>
            <w:sz w:val="22"/>
            <w:szCs w:val="22"/>
          </w:rPr>
          <w:fldChar w:fldCharType="end"/>
        </w:r>
      </w:hyperlink>
    </w:p>
    <w:p w14:paraId="649AA587" w14:textId="680A719C" w:rsidR="00201DC6" w:rsidRPr="00E93194" w:rsidRDefault="007A624D">
      <w:pPr>
        <w:pStyle w:val="ndice2"/>
        <w:tabs>
          <w:tab w:val="right" w:leader="dot" w:pos="9628"/>
        </w:tabs>
        <w:rPr>
          <w:noProof/>
          <w:sz w:val="22"/>
          <w:szCs w:val="22"/>
        </w:rPr>
      </w:pPr>
      <w:hyperlink w:anchor="_Toc45812363" w:history="1">
        <w:r w:rsidR="00201DC6" w:rsidRPr="00E93194">
          <w:rPr>
            <w:rStyle w:val="Hiperligao"/>
            <w:rFonts w:ascii="HurmeGeometricSans4 Regular" w:hAnsi="HurmeGeometricSans4 Regular"/>
            <w:noProof/>
            <w:sz w:val="22"/>
            <w:szCs w:val="22"/>
            <w:lang w:eastAsia="en-US"/>
          </w:rPr>
          <w:t>Cláusula 4.ª – Obrigações do Adjudicatário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201DC6" w:rsidRPr="00E93194">
          <w:rPr>
            <w:noProof/>
            <w:webHidden/>
            <w:sz w:val="22"/>
            <w:szCs w:val="22"/>
          </w:rPr>
          <w:fldChar w:fldCharType="begin"/>
        </w:r>
        <w:r w:rsidR="00201DC6" w:rsidRPr="00E93194">
          <w:rPr>
            <w:noProof/>
            <w:webHidden/>
            <w:sz w:val="22"/>
            <w:szCs w:val="22"/>
          </w:rPr>
          <w:instrText xml:space="preserve"> PAGEREF _Toc45812363 \h </w:instrText>
        </w:r>
        <w:r w:rsidR="00201DC6" w:rsidRPr="00E93194">
          <w:rPr>
            <w:noProof/>
            <w:webHidden/>
            <w:sz w:val="22"/>
            <w:szCs w:val="22"/>
          </w:rPr>
        </w:r>
        <w:r w:rsidR="00201DC6" w:rsidRPr="00E93194">
          <w:rPr>
            <w:noProof/>
            <w:webHidden/>
            <w:sz w:val="22"/>
            <w:szCs w:val="22"/>
          </w:rPr>
          <w:fldChar w:fldCharType="separate"/>
        </w:r>
        <w:r w:rsidR="00614296">
          <w:rPr>
            <w:noProof/>
            <w:webHidden/>
            <w:sz w:val="22"/>
            <w:szCs w:val="22"/>
          </w:rPr>
          <w:t>3</w:t>
        </w:r>
        <w:r w:rsidR="00201DC6" w:rsidRPr="00E93194">
          <w:rPr>
            <w:noProof/>
            <w:webHidden/>
            <w:sz w:val="22"/>
            <w:szCs w:val="22"/>
          </w:rPr>
          <w:fldChar w:fldCharType="end"/>
        </w:r>
      </w:hyperlink>
    </w:p>
    <w:p w14:paraId="1BCD28CD" w14:textId="0D31B681" w:rsidR="00201DC6" w:rsidRPr="00E93194" w:rsidRDefault="007A624D">
      <w:pPr>
        <w:pStyle w:val="ndice2"/>
        <w:tabs>
          <w:tab w:val="right" w:leader="dot" w:pos="9628"/>
        </w:tabs>
        <w:rPr>
          <w:noProof/>
          <w:sz w:val="22"/>
          <w:szCs w:val="22"/>
        </w:rPr>
      </w:pPr>
      <w:hyperlink w:anchor="_Toc45812364" w:history="1">
        <w:r w:rsidR="00201DC6" w:rsidRPr="00E93194">
          <w:rPr>
            <w:rStyle w:val="Hiperligao"/>
            <w:rFonts w:ascii="HurmeGeometricSans4 Regular" w:hAnsi="HurmeGeometricSans4 Regular"/>
            <w:noProof/>
            <w:sz w:val="22"/>
            <w:szCs w:val="22"/>
            <w:lang w:eastAsia="en-US"/>
          </w:rPr>
          <w:t>Cláusula 5.ª – Dever de Sigilo e Confidencialidade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201DC6" w:rsidRPr="00E93194">
          <w:rPr>
            <w:noProof/>
            <w:webHidden/>
            <w:sz w:val="22"/>
            <w:szCs w:val="22"/>
          </w:rPr>
          <w:fldChar w:fldCharType="begin"/>
        </w:r>
        <w:r w:rsidR="00201DC6" w:rsidRPr="00E93194">
          <w:rPr>
            <w:noProof/>
            <w:webHidden/>
            <w:sz w:val="22"/>
            <w:szCs w:val="22"/>
          </w:rPr>
          <w:instrText xml:space="preserve"> PAGEREF _Toc45812364 \h </w:instrText>
        </w:r>
        <w:r w:rsidR="00201DC6" w:rsidRPr="00E93194">
          <w:rPr>
            <w:noProof/>
            <w:webHidden/>
            <w:sz w:val="22"/>
            <w:szCs w:val="22"/>
          </w:rPr>
        </w:r>
        <w:r w:rsidR="00201DC6" w:rsidRPr="00E93194">
          <w:rPr>
            <w:noProof/>
            <w:webHidden/>
            <w:sz w:val="22"/>
            <w:szCs w:val="22"/>
          </w:rPr>
          <w:fldChar w:fldCharType="separate"/>
        </w:r>
        <w:r w:rsidR="00614296">
          <w:rPr>
            <w:noProof/>
            <w:webHidden/>
            <w:sz w:val="22"/>
            <w:szCs w:val="22"/>
          </w:rPr>
          <w:t>4</w:t>
        </w:r>
        <w:r w:rsidR="00201DC6" w:rsidRPr="00E93194">
          <w:rPr>
            <w:noProof/>
            <w:webHidden/>
            <w:sz w:val="22"/>
            <w:szCs w:val="22"/>
          </w:rPr>
          <w:fldChar w:fldCharType="end"/>
        </w:r>
      </w:hyperlink>
    </w:p>
    <w:p w14:paraId="28A30482" w14:textId="13778512" w:rsidR="00201DC6" w:rsidRPr="00E93194" w:rsidRDefault="007A624D">
      <w:pPr>
        <w:pStyle w:val="ndice2"/>
        <w:tabs>
          <w:tab w:val="right" w:leader="dot" w:pos="9628"/>
        </w:tabs>
        <w:rPr>
          <w:noProof/>
          <w:sz w:val="22"/>
          <w:szCs w:val="22"/>
        </w:rPr>
      </w:pPr>
      <w:hyperlink w:anchor="_Toc45812365" w:history="1">
        <w:r w:rsidR="00201DC6" w:rsidRPr="00E93194">
          <w:rPr>
            <w:rStyle w:val="Hiperligao"/>
            <w:rFonts w:ascii="HurmeGeometricSans4 Regular" w:hAnsi="HurmeGeometricSans4 Regular"/>
            <w:noProof/>
            <w:sz w:val="22"/>
            <w:szCs w:val="22"/>
            <w:lang w:eastAsia="en-US"/>
          </w:rPr>
          <w:t>Cláusula 6.ª – Gestor de Contrato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201DC6" w:rsidRPr="00E93194">
          <w:rPr>
            <w:noProof/>
            <w:webHidden/>
            <w:sz w:val="22"/>
            <w:szCs w:val="22"/>
          </w:rPr>
          <w:fldChar w:fldCharType="begin"/>
        </w:r>
        <w:r w:rsidR="00201DC6" w:rsidRPr="00E93194">
          <w:rPr>
            <w:noProof/>
            <w:webHidden/>
            <w:sz w:val="22"/>
            <w:szCs w:val="22"/>
          </w:rPr>
          <w:instrText xml:space="preserve"> PAGEREF _Toc45812365 \h </w:instrText>
        </w:r>
        <w:r w:rsidR="00201DC6" w:rsidRPr="00E93194">
          <w:rPr>
            <w:noProof/>
            <w:webHidden/>
            <w:sz w:val="22"/>
            <w:szCs w:val="22"/>
          </w:rPr>
        </w:r>
        <w:r w:rsidR="00201DC6" w:rsidRPr="00E93194">
          <w:rPr>
            <w:noProof/>
            <w:webHidden/>
            <w:sz w:val="22"/>
            <w:szCs w:val="22"/>
          </w:rPr>
          <w:fldChar w:fldCharType="separate"/>
        </w:r>
        <w:r w:rsidR="00614296">
          <w:rPr>
            <w:noProof/>
            <w:webHidden/>
            <w:sz w:val="22"/>
            <w:szCs w:val="22"/>
          </w:rPr>
          <w:t>4</w:t>
        </w:r>
        <w:r w:rsidR="00201DC6" w:rsidRPr="00E93194">
          <w:rPr>
            <w:noProof/>
            <w:webHidden/>
            <w:sz w:val="22"/>
            <w:szCs w:val="22"/>
          </w:rPr>
          <w:fldChar w:fldCharType="end"/>
        </w:r>
      </w:hyperlink>
    </w:p>
    <w:p w14:paraId="10F0C65F" w14:textId="794DAC12" w:rsidR="00201DC6" w:rsidRPr="00E93194" w:rsidRDefault="007A624D">
      <w:pPr>
        <w:pStyle w:val="ndice2"/>
        <w:tabs>
          <w:tab w:val="right" w:leader="dot" w:pos="9628"/>
        </w:tabs>
        <w:rPr>
          <w:noProof/>
          <w:sz w:val="22"/>
          <w:szCs w:val="22"/>
        </w:rPr>
      </w:pPr>
      <w:hyperlink w:anchor="_Toc45812366" w:history="1">
        <w:r w:rsidR="00201DC6" w:rsidRPr="00E93194">
          <w:rPr>
            <w:rStyle w:val="Hiperligao"/>
            <w:rFonts w:ascii="HurmeGeometricSans4 Regular" w:hAnsi="HurmeGeometricSans4 Regular"/>
            <w:noProof/>
            <w:sz w:val="22"/>
            <w:szCs w:val="22"/>
            <w:lang w:eastAsia="en-US"/>
          </w:rPr>
          <w:t>Cláusula 7.ª – Seguros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201DC6" w:rsidRPr="00E93194">
          <w:rPr>
            <w:noProof/>
            <w:webHidden/>
            <w:sz w:val="22"/>
            <w:szCs w:val="22"/>
          </w:rPr>
          <w:fldChar w:fldCharType="begin"/>
        </w:r>
        <w:r w:rsidR="00201DC6" w:rsidRPr="00E93194">
          <w:rPr>
            <w:noProof/>
            <w:webHidden/>
            <w:sz w:val="22"/>
            <w:szCs w:val="22"/>
          </w:rPr>
          <w:instrText xml:space="preserve"> PAGEREF _Toc45812366 \h </w:instrText>
        </w:r>
        <w:r w:rsidR="00201DC6" w:rsidRPr="00E93194">
          <w:rPr>
            <w:noProof/>
            <w:webHidden/>
            <w:sz w:val="22"/>
            <w:szCs w:val="22"/>
          </w:rPr>
        </w:r>
        <w:r w:rsidR="00201DC6" w:rsidRPr="00E93194">
          <w:rPr>
            <w:noProof/>
            <w:webHidden/>
            <w:sz w:val="22"/>
            <w:szCs w:val="22"/>
          </w:rPr>
          <w:fldChar w:fldCharType="separate"/>
        </w:r>
        <w:r w:rsidR="00614296">
          <w:rPr>
            <w:noProof/>
            <w:webHidden/>
            <w:sz w:val="22"/>
            <w:szCs w:val="22"/>
          </w:rPr>
          <w:t>4</w:t>
        </w:r>
        <w:r w:rsidR="00201DC6" w:rsidRPr="00E93194">
          <w:rPr>
            <w:noProof/>
            <w:webHidden/>
            <w:sz w:val="22"/>
            <w:szCs w:val="22"/>
          </w:rPr>
          <w:fldChar w:fldCharType="end"/>
        </w:r>
      </w:hyperlink>
    </w:p>
    <w:p w14:paraId="7FF6E780" w14:textId="2DD9856D" w:rsidR="00201DC6" w:rsidRPr="00E93194" w:rsidRDefault="007A624D">
      <w:pPr>
        <w:pStyle w:val="ndice2"/>
        <w:tabs>
          <w:tab w:val="right" w:leader="dot" w:pos="9628"/>
        </w:tabs>
        <w:rPr>
          <w:noProof/>
          <w:sz w:val="22"/>
          <w:szCs w:val="22"/>
        </w:rPr>
      </w:pPr>
      <w:hyperlink w:anchor="_Toc45812367" w:history="1">
        <w:r w:rsidR="00201DC6" w:rsidRPr="00E93194">
          <w:rPr>
            <w:rStyle w:val="Hiperligao"/>
            <w:rFonts w:ascii="HurmeGeometricSans4 Regular" w:hAnsi="HurmeGeometricSans4 Regular"/>
            <w:noProof/>
            <w:sz w:val="22"/>
            <w:szCs w:val="22"/>
            <w:lang w:eastAsia="en-US"/>
          </w:rPr>
          <w:t>Cláusula 8.ª – Preço Contratual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201DC6" w:rsidRPr="00E93194">
          <w:rPr>
            <w:noProof/>
            <w:webHidden/>
            <w:sz w:val="22"/>
            <w:szCs w:val="22"/>
          </w:rPr>
          <w:fldChar w:fldCharType="begin"/>
        </w:r>
        <w:r w:rsidR="00201DC6" w:rsidRPr="00E93194">
          <w:rPr>
            <w:noProof/>
            <w:webHidden/>
            <w:sz w:val="22"/>
            <w:szCs w:val="22"/>
          </w:rPr>
          <w:instrText xml:space="preserve"> PAGEREF _Toc45812367 \h </w:instrText>
        </w:r>
        <w:r w:rsidR="00201DC6" w:rsidRPr="00E93194">
          <w:rPr>
            <w:noProof/>
            <w:webHidden/>
            <w:sz w:val="22"/>
            <w:szCs w:val="22"/>
          </w:rPr>
        </w:r>
        <w:r w:rsidR="00201DC6" w:rsidRPr="00E93194">
          <w:rPr>
            <w:noProof/>
            <w:webHidden/>
            <w:sz w:val="22"/>
            <w:szCs w:val="22"/>
          </w:rPr>
          <w:fldChar w:fldCharType="separate"/>
        </w:r>
        <w:r w:rsidR="00614296">
          <w:rPr>
            <w:noProof/>
            <w:webHidden/>
            <w:sz w:val="22"/>
            <w:szCs w:val="22"/>
          </w:rPr>
          <w:t>4</w:t>
        </w:r>
        <w:r w:rsidR="00201DC6" w:rsidRPr="00E93194">
          <w:rPr>
            <w:noProof/>
            <w:webHidden/>
            <w:sz w:val="22"/>
            <w:szCs w:val="22"/>
          </w:rPr>
          <w:fldChar w:fldCharType="end"/>
        </w:r>
      </w:hyperlink>
    </w:p>
    <w:p w14:paraId="3E1C1428" w14:textId="1BE2B7E8" w:rsidR="00201DC6" w:rsidRPr="00E93194" w:rsidRDefault="007A624D">
      <w:pPr>
        <w:pStyle w:val="ndice2"/>
        <w:tabs>
          <w:tab w:val="right" w:leader="dot" w:pos="9628"/>
        </w:tabs>
        <w:rPr>
          <w:noProof/>
          <w:sz w:val="22"/>
          <w:szCs w:val="22"/>
        </w:rPr>
      </w:pPr>
      <w:hyperlink w:anchor="_Toc45812368" w:history="1">
        <w:r w:rsidR="00201DC6" w:rsidRPr="00E93194">
          <w:rPr>
            <w:rStyle w:val="Hiperligao"/>
            <w:rFonts w:ascii="HurmeGeometricSans4 Regular" w:hAnsi="HurmeGeometricSans4 Regular"/>
            <w:noProof/>
            <w:sz w:val="22"/>
            <w:szCs w:val="22"/>
            <w:lang w:eastAsia="en-US"/>
          </w:rPr>
          <w:t>Cláusula 9.ª – Revisão de Preços e Adiantamentos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201DC6" w:rsidRPr="00E93194">
          <w:rPr>
            <w:noProof/>
            <w:webHidden/>
            <w:sz w:val="22"/>
            <w:szCs w:val="22"/>
          </w:rPr>
          <w:fldChar w:fldCharType="begin"/>
        </w:r>
        <w:r w:rsidR="00201DC6" w:rsidRPr="00E93194">
          <w:rPr>
            <w:noProof/>
            <w:webHidden/>
            <w:sz w:val="22"/>
            <w:szCs w:val="22"/>
          </w:rPr>
          <w:instrText xml:space="preserve"> PAGEREF _Toc45812368 \h </w:instrText>
        </w:r>
        <w:r w:rsidR="00201DC6" w:rsidRPr="00E93194">
          <w:rPr>
            <w:noProof/>
            <w:webHidden/>
            <w:sz w:val="22"/>
            <w:szCs w:val="22"/>
          </w:rPr>
        </w:r>
        <w:r w:rsidR="00201DC6" w:rsidRPr="00E93194">
          <w:rPr>
            <w:noProof/>
            <w:webHidden/>
            <w:sz w:val="22"/>
            <w:szCs w:val="22"/>
          </w:rPr>
          <w:fldChar w:fldCharType="separate"/>
        </w:r>
        <w:r w:rsidR="00614296">
          <w:rPr>
            <w:noProof/>
            <w:webHidden/>
            <w:sz w:val="22"/>
            <w:szCs w:val="22"/>
          </w:rPr>
          <w:t>5</w:t>
        </w:r>
        <w:r w:rsidR="00201DC6" w:rsidRPr="00E93194">
          <w:rPr>
            <w:noProof/>
            <w:webHidden/>
            <w:sz w:val="22"/>
            <w:szCs w:val="22"/>
          </w:rPr>
          <w:fldChar w:fldCharType="end"/>
        </w:r>
      </w:hyperlink>
    </w:p>
    <w:p w14:paraId="563E29B5" w14:textId="55E131A4" w:rsidR="00201DC6" w:rsidRPr="00E93194" w:rsidRDefault="007A624D">
      <w:pPr>
        <w:pStyle w:val="ndice2"/>
        <w:tabs>
          <w:tab w:val="right" w:leader="dot" w:pos="9628"/>
        </w:tabs>
        <w:rPr>
          <w:noProof/>
          <w:sz w:val="22"/>
          <w:szCs w:val="22"/>
        </w:rPr>
      </w:pPr>
      <w:hyperlink w:anchor="_Toc45812369" w:history="1">
        <w:r w:rsidR="00201DC6" w:rsidRPr="00E93194">
          <w:rPr>
            <w:rStyle w:val="Hiperligao"/>
            <w:rFonts w:ascii="HurmeGeometricSans4 Regular" w:hAnsi="HurmeGeometricSans4 Regular"/>
            <w:noProof/>
            <w:sz w:val="22"/>
            <w:szCs w:val="22"/>
            <w:lang w:eastAsia="en-US"/>
          </w:rPr>
          <w:t>Cláusula 10.ª – Condições de Pagamento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201DC6" w:rsidRPr="00E93194">
          <w:rPr>
            <w:noProof/>
            <w:webHidden/>
            <w:sz w:val="22"/>
            <w:szCs w:val="22"/>
          </w:rPr>
          <w:fldChar w:fldCharType="begin"/>
        </w:r>
        <w:r w:rsidR="00201DC6" w:rsidRPr="00E93194">
          <w:rPr>
            <w:noProof/>
            <w:webHidden/>
            <w:sz w:val="22"/>
            <w:szCs w:val="22"/>
          </w:rPr>
          <w:instrText xml:space="preserve"> PAGEREF _Toc45812369 \h </w:instrText>
        </w:r>
        <w:r w:rsidR="00201DC6" w:rsidRPr="00E93194">
          <w:rPr>
            <w:noProof/>
            <w:webHidden/>
            <w:sz w:val="22"/>
            <w:szCs w:val="22"/>
          </w:rPr>
        </w:r>
        <w:r w:rsidR="00201DC6" w:rsidRPr="00E93194">
          <w:rPr>
            <w:noProof/>
            <w:webHidden/>
            <w:sz w:val="22"/>
            <w:szCs w:val="22"/>
          </w:rPr>
          <w:fldChar w:fldCharType="separate"/>
        </w:r>
        <w:r w:rsidR="00614296">
          <w:rPr>
            <w:noProof/>
            <w:webHidden/>
            <w:sz w:val="22"/>
            <w:szCs w:val="22"/>
          </w:rPr>
          <w:t>5</w:t>
        </w:r>
        <w:r w:rsidR="00201DC6" w:rsidRPr="00E93194">
          <w:rPr>
            <w:noProof/>
            <w:webHidden/>
            <w:sz w:val="22"/>
            <w:szCs w:val="22"/>
          </w:rPr>
          <w:fldChar w:fldCharType="end"/>
        </w:r>
      </w:hyperlink>
    </w:p>
    <w:p w14:paraId="29D2E32A" w14:textId="433C13EA" w:rsidR="00201DC6" w:rsidRPr="00E93194" w:rsidRDefault="007A624D">
      <w:pPr>
        <w:pStyle w:val="ndice2"/>
        <w:tabs>
          <w:tab w:val="right" w:leader="dot" w:pos="9628"/>
        </w:tabs>
        <w:rPr>
          <w:noProof/>
          <w:sz w:val="22"/>
          <w:szCs w:val="22"/>
        </w:rPr>
      </w:pPr>
      <w:hyperlink w:anchor="_Toc45812370" w:history="1">
        <w:r w:rsidR="00201DC6" w:rsidRPr="00E93194">
          <w:rPr>
            <w:rStyle w:val="Hiperligao"/>
            <w:rFonts w:ascii="HurmeGeometricSans4 Regular" w:hAnsi="HurmeGeometricSans4 Regular"/>
            <w:noProof/>
            <w:sz w:val="22"/>
            <w:szCs w:val="22"/>
            <w:lang w:eastAsia="en-US"/>
          </w:rPr>
          <w:t>Cláusula 11.ª – Direitos e Obrigações da Entidade Adjudicante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201DC6" w:rsidRPr="00E93194">
          <w:rPr>
            <w:noProof/>
            <w:webHidden/>
            <w:sz w:val="22"/>
            <w:szCs w:val="22"/>
          </w:rPr>
          <w:fldChar w:fldCharType="begin"/>
        </w:r>
        <w:r w:rsidR="00201DC6" w:rsidRPr="00E93194">
          <w:rPr>
            <w:noProof/>
            <w:webHidden/>
            <w:sz w:val="22"/>
            <w:szCs w:val="22"/>
          </w:rPr>
          <w:instrText xml:space="preserve"> PAGEREF _Toc45812370 \h </w:instrText>
        </w:r>
        <w:r w:rsidR="00201DC6" w:rsidRPr="00E93194">
          <w:rPr>
            <w:noProof/>
            <w:webHidden/>
            <w:sz w:val="22"/>
            <w:szCs w:val="22"/>
          </w:rPr>
        </w:r>
        <w:r w:rsidR="00201DC6" w:rsidRPr="00E93194">
          <w:rPr>
            <w:noProof/>
            <w:webHidden/>
            <w:sz w:val="22"/>
            <w:szCs w:val="22"/>
          </w:rPr>
          <w:fldChar w:fldCharType="separate"/>
        </w:r>
        <w:r w:rsidR="00614296">
          <w:rPr>
            <w:noProof/>
            <w:webHidden/>
            <w:sz w:val="22"/>
            <w:szCs w:val="22"/>
          </w:rPr>
          <w:t>5</w:t>
        </w:r>
        <w:r w:rsidR="00201DC6" w:rsidRPr="00E93194">
          <w:rPr>
            <w:noProof/>
            <w:webHidden/>
            <w:sz w:val="22"/>
            <w:szCs w:val="22"/>
          </w:rPr>
          <w:fldChar w:fldCharType="end"/>
        </w:r>
      </w:hyperlink>
    </w:p>
    <w:p w14:paraId="1A619701" w14:textId="6A271C21" w:rsidR="00201DC6" w:rsidRPr="00E93194" w:rsidRDefault="007A624D">
      <w:pPr>
        <w:pStyle w:val="ndice1"/>
        <w:tabs>
          <w:tab w:val="right" w:leader="dot" w:pos="9628"/>
        </w:tabs>
        <w:rPr>
          <w:noProof/>
          <w:sz w:val="22"/>
          <w:szCs w:val="22"/>
        </w:rPr>
      </w:pPr>
      <w:hyperlink w:anchor="_Toc45812371" w:history="1">
        <w:r w:rsidR="00201DC6" w:rsidRPr="00E93194">
          <w:rPr>
            <w:rStyle w:val="Hiperligao"/>
            <w:rFonts w:ascii="HurmeGeometricSans4 Regular" w:hAnsi="HurmeGeometricSans4 Regular"/>
            <w:smallCaps/>
            <w:noProof/>
            <w:sz w:val="22"/>
            <w:szCs w:val="22"/>
            <w:lang w:eastAsia="en-US"/>
          </w:rPr>
          <w:t>Capítulo III – Disposições Complementares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201DC6" w:rsidRPr="00E93194">
          <w:rPr>
            <w:noProof/>
            <w:webHidden/>
            <w:sz w:val="22"/>
            <w:szCs w:val="22"/>
          </w:rPr>
          <w:fldChar w:fldCharType="begin"/>
        </w:r>
        <w:r w:rsidR="00201DC6" w:rsidRPr="00E93194">
          <w:rPr>
            <w:noProof/>
            <w:webHidden/>
            <w:sz w:val="22"/>
            <w:szCs w:val="22"/>
          </w:rPr>
          <w:instrText xml:space="preserve"> PAGEREF _Toc45812371 \h </w:instrText>
        </w:r>
        <w:r w:rsidR="00201DC6" w:rsidRPr="00E93194">
          <w:rPr>
            <w:noProof/>
            <w:webHidden/>
            <w:sz w:val="22"/>
            <w:szCs w:val="22"/>
          </w:rPr>
        </w:r>
        <w:r w:rsidR="00201DC6" w:rsidRPr="00E93194">
          <w:rPr>
            <w:noProof/>
            <w:webHidden/>
            <w:sz w:val="22"/>
            <w:szCs w:val="22"/>
          </w:rPr>
          <w:fldChar w:fldCharType="separate"/>
        </w:r>
        <w:r w:rsidR="00614296">
          <w:rPr>
            <w:noProof/>
            <w:webHidden/>
            <w:sz w:val="22"/>
            <w:szCs w:val="22"/>
          </w:rPr>
          <w:t>6</w:t>
        </w:r>
        <w:r w:rsidR="00201DC6" w:rsidRPr="00E93194">
          <w:rPr>
            <w:noProof/>
            <w:webHidden/>
            <w:sz w:val="22"/>
            <w:szCs w:val="22"/>
          </w:rPr>
          <w:fldChar w:fldCharType="end"/>
        </w:r>
      </w:hyperlink>
    </w:p>
    <w:p w14:paraId="2CEAC58D" w14:textId="36229845" w:rsidR="00201DC6" w:rsidRPr="00E93194" w:rsidRDefault="007A624D">
      <w:pPr>
        <w:pStyle w:val="ndice2"/>
        <w:tabs>
          <w:tab w:val="right" w:leader="dot" w:pos="9628"/>
        </w:tabs>
        <w:rPr>
          <w:noProof/>
          <w:sz w:val="22"/>
          <w:szCs w:val="22"/>
        </w:rPr>
      </w:pPr>
      <w:hyperlink w:anchor="_Toc45812372" w:history="1">
        <w:r w:rsidR="00201DC6" w:rsidRPr="00E93194">
          <w:rPr>
            <w:rStyle w:val="Hiperligao"/>
            <w:rFonts w:ascii="HurmeGeometricSans4 Regular" w:hAnsi="HurmeGeometricSans4 Regular"/>
            <w:noProof/>
            <w:sz w:val="22"/>
            <w:szCs w:val="22"/>
            <w:lang w:eastAsia="en-US"/>
          </w:rPr>
          <w:t>Cláusula 12.ª – Penalidades Contratuais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201DC6" w:rsidRPr="00E93194">
          <w:rPr>
            <w:noProof/>
            <w:webHidden/>
            <w:sz w:val="22"/>
            <w:szCs w:val="22"/>
          </w:rPr>
          <w:fldChar w:fldCharType="begin"/>
        </w:r>
        <w:r w:rsidR="00201DC6" w:rsidRPr="00E93194">
          <w:rPr>
            <w:noProof/>
            <w:webHidden/>
            <w:sz w:val="22"/>
            <w:szCs w:val="22"/>
          </w:rPr>
          <w:instrText xml:space="preserve"> PAGEREF _Toc45812372 \h </w:instrText>
        </w:r>
        <w:r w:rsidR="00201DC6" w:rsidRPr="00E93194">
          <w:rPr>
            <w:noProof/>
            <w:webHidden/>
            <w:sz w:val="22"/>
            <w:szCs w:val="22"/>
          </w:rPr>
        </w:r>
        <w:r w:rsidR="00201DC6" w:rsidRPr="00E93194">
          <w:rPr>
            <w:noProof/>
            <w:webHidden/>
            <w:sz w:val="22"/>
            <w:szCs w:val="22"/>
          </w:rPr>
          <w:fldChar w:fldCharType="separate"/>
        </w:r>
        <w:r w:rsidR="00614296">
          <w:rPr>
            <w:noProof/>
            <w:webHidden/>
            <w:sz w:val="22"/>
            <w:szCs w:val="22"/>
          </w:rPr>
          <w:t>6</w:t>
        </w:r>
        <w:r w:rsidR="00201DC6" w:rsidRPr="00E93194">
          <w:rPr>
            <w:noProof/>
            <w:webHidden/>
            <w:sz w:val="22"/>
            <w:szCs w:val="22"/>
          </w:rPr>
          <w:fldChar w:fldCharType="end"/>
        </w:r>
      </w:hyperlink>
    </w:p>
    <w:p w14:paraId="45A970F0" w14:textId="53128C82" w:rsidR="00201DC6" w:rsidRPr="00E93194" w:rsidRDefault="007A624D">
      <w:pPr>
        <w:pStyle w:val="ndice2"/>
        <w:tabs>
          <w:tab w:val="right" w:leader="dot" w:pos="9628"/>
        </w:tabs>
        <w:rPr>
          <w:noProof/>
          <w:sz w:val="22"/>
          <w:szCs w:val="22"/>
        </w:rPr>
      </w:pPr>
      <w:hyperlink w:anchor="_Toc45812373" w:history="1">
        <w:r w:rsidR="00201DC6" w:rsidRPr="00E93194">
          <w:rPr>
            <w:rStyle w:val="Hiperligao"/>
            <w:rFonts w:ascii="HurmeGeometricSans4 Regular" w:hAnsi="HurmeGeometricSans4 Regular"/>
            <w:noProof/>
            <w:sz w:val="22"/>
            <w:szCs w:val="22"/>
            <w:lang w:eastAsia="en-US"/>
          </w:rPr>
          <w:t>Cláusula 13.ª – Retenção de Pagamentos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201DC6" w:rsidRPr="00E93194">
          <w:rPr>
            <w:noProof/>
            <w:webHidden/>
            <w:sz w:val="22"/>
            <w:szCs w:val="22"/>
          </w:rPr>
          <w:fldChar w:fldCharType="begin"/>
        </w:r>
        <w:r w:rsidR="00201DC6" w:rsidRPr="00E93194">
          <w:rPr>
            <w:noProof/>
            <w:webHidden/>
            <w:sz w:val="22"/>
            <w:szCs w:val="22"/>
          </w:rPr>
          <w:instrText xml:space="preserve"> PAGEREF _Toc45812373 \h </w:instrText>
        </w:r>
        <w:r w:rsidR="00201DC6" w:rsidRPr="00E93194">
          <w:rPr>
            <w:noProof/>
            <w:webHidden/>
            <w:sz w:val="22"/>
            <w:szCs w:val="22"/>
          </w:rPr>
        </w:r>
        <w:r w:rsidR="00201DC6" w:rsidRPr="00E93194">
          <w:rPr>
            <w:noProof/>
            <w:webHidden/>
            <w:sz w:val="22"/>
            <w:szCs w:val="22"/>
          </w:rPr>
          <w:fldChar w:fldCharType="separate"/>
        </w:r>
        <w:r w:rsidR="00614296">
          <w:rPr>
            <w:noProof/>
            <w:webHidden/>
            <w:sz w:val="22"/>
            <w:szCs w:val="22"/>
          </w:rPr>
          <w:t>6</w:t>
        </w:r>
        <w:r w:rsidR="00201DC6" w:rsidRPr="00E93194">
          <w:rPr>
            <w:noProof/>
            <w:webHidden/>
            <w:sz w:val="22"/>
            <w:szCs w:val="22"/>
          </w:rPr>
          <w:fldChar w:fldCharType="end"/>
        </w:r>
      </w:hyperlink>
    </w:p>
    <w:p w14:paraId="105E824E" w14:textId="2523BF23" w:rsidR="00201DC6" w:rsidRPr="00E93194" w:rsidRDefault="007A624D">
      <w:pPr>
        <w:pStyle w:val="ndice2"/>
        <w:tabs>
          <w:tab w:val="right" w:leader="dot" w:pos="9628"/>
        </w:tabs>
        <w:rPr>
          <w:noProof/>
          <w:sz w:val="22"/>
          <w:szCs w:val="22"/>
        </w:rPr>
      </w:pPr>
      <w:hyperlink w:anchor="_Toc45812374" w:history="1">
        <w:r w:rsidR="00201DC6" w:rsidRPr="00E93194">
          <w:rPr>
            <w:rStyle w:val="Hiperligao"/>
            <w:rFonts w:ascii="HurmeGeometricSans4 Regular" w:hAnsi="HurmeGeometricSans4 Regular"/>
            <w:noProof/>
            <w:sz w:val="22"/>
            <w:szCs w:val="22"/>
            <w:lang w:eastAsia="en-US"/>
          </w:rPr>
          <w:t>Cláusula 14.ª – Força Maior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201DC6" w:rsidRPr="00E93194">
          <w:rPr>
            <w:noProof/>
            <w:webHidden/>
            <w:sz w:val="22"/>
            <w:szCs w:val="22"/>
          </w:rPr>
          <w:fldChar w:fldCharType="begin"/>
        </w:r>
        <w:r w:rsidR="00201DC6" w:rsidRPr="00E93194">
          <w:rPr>
            <w:noProof/>
            <w:webHidden/>
            <w:sz w:val="22"/>
            <w:szCs w:val="22"/>
          </w:rPr>
          <w:instrText xml:space="preserve"> PAGEREF _Toc45812374 \h </w:instrText>
        </w:r>
        <w:r w:rsidR="00201DC6" w:rsidRPr="00E93194">
          <w:rPr>
            <w:noProof/>
            <w:webHidden/>
            <w:sz w:val="22"/>
            <w:szCs w:val="22"/>
          </w:rPr>
        </w:r>
        <w:r w:rsidR="00201DC6" w:rsidRPr="00E93194">
          <w:rPr>
            <w:noProof/>
            <w:webHidden/>
            <w:sz w:val="22"/>
            <w:szCs w:val="22"/>
          </w:rPr>
          <w:fldChar w:fldCharType="separate"/>
        </w:r>
        <w:r w:rsidR="00614296">
          <w:rPr>
            <w:noProof/>
            <w:webHidden/>
            <w:sz w:val="22"/>
            <w:szCs w:val="22"/>
          </w:rPr>
          <w:t>6</w:t>
        </w:r>
        <w:r w:rsidR="00201DC6" w:rsidRPr="00E93194">
          <w:rPr>
            <w:noProof/>
            <w:webHidden/>
            <w:sz w:val="22"/>
            <w:szCs w:val="22"/>
          </w:rPr>
          <w:fldChar w:fldCharType="end"/>
        </w:r>
      </w:hyperlink>
    </w:p>
    <w:p w14:paraId="14B99905" w14:textId="2C815D78" w:rsidR="00201DC6" w:rsidRPr="00E93194" w:rsidRDefault="007A624D">
      <w:pPr>
        <w:pStyle w:val="ndice2"/>
        <w:tabs>
          <w:tab w:val="right" w:leader="dot" w:pos="9628"/>
        </w:tabs>
        <w:rPr>
          <w:noProof/>
          <w:sz w:val="22"/>
          <w:szCs w:val="22"/>
        </w:rPr>
      </w:pPr>
      <w:hyperlink w:anchor="_Toc45812375" w:history="1">
        <w:r w:rsidR="00201DC6" w:rsidRPr="00E93194">
          <w:rPr>
            <w:rStyle w:val="Hiperligao"/>
            <w:rFonts w:ascii="HurmeGeometricSans4 Regular" w:hAnsi="HurmeGeometricSans4 Regular"/>
            <w:noProof/>
            <w:sz w:val="22"/>
            <w:szCs w:val="22"/>
            <w:lang w:eastAsia="en-US"/>
          </w:rPr>
          <w:t>Cláusula 15.ª – Resolução do Contrato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201DC6" w:rsidRPr="00E93194">
          <w:rPr>
            <w:noProof/>
            <w:webHidden/>
            <w:sz w:val="22"/>
            <w:szCs w:val="22"/>
          </w:rPr>
          <w:fldChar w:fldCharType="begin"/>
        </w:r>
        <w:r w:rsidR="00201DC6" w:rsidRPr="00E93194">
          <w:rPr>
            <w:noProof/>
            <w:webHidden/>
            <w:sz w:val="22"/>
            <w:szCs w:val="22"/>
          </w:rPr>
          <w:instrText xml:space="preserve"> PAGEREF _Toc45812375 \h </w:instrText>
        </w:r>
        <w:r w:rsidR="00201DC6" w:rsidRPr="00E93194">
          <w:rPr>
            <w:noProof/>
            <w:webHidden/>
            <w:sz w:val="22"/>
            <w:szCs w:val="22"/>
          </w:rPr>
        </w:r>
        <w:r w:rsidR="00201DC6" w:rsidRPr="00E93194">
          <w:rPr>
            <w:noProof/>
            <w:webHidden/>
            <w:sz w:val="22"/>
            <w:szCs w:val="22"/>
          </w:rPr>
          <w:fldChar w:fldCharType="separate"/>
        </w:r>
        <w:r w:rsidR="00614296">
          <w:rPr>
            <w:noProof/>
            <w:webHidden/>
            <w:sz w:val="22"/>
            <w:szCs w:val="22"/>
          </w:rPr>
          <w:t>6</w:t>
        </w:r>
        <w:r w:rsidR="00201DC6" w:rsidRPr="00E93194">
          <w:rPr>
            <w:noProof/>
            <w:webHidden/>
            <w:sz w:val="22"/>
            <w:szCs w:val="22"/>
          </w:rPr>
          <w:fldChar w:fldCharType="end"/>
        </w:r>
      </w:hyperlink>
    </w:p>
    <w:p w14:paraId="2F300E83" w14:textId="5CE5341E" w:rsidR="00201DC6" w:rsidRPr="00E93194" w:rsidRDefault="007A624D">
      <w:pPr>
        <w:pStyle w:val="ndice2"/>
        <w:tabs>
          <w:tab w:val="right" w:leader="dot" w:pos="9628"/>
        </w:tabs>
        <w:rPr>
          <w:noProof/>
          <w:sz w:val="22"/>
          <w:szCs w:val="22"/>
        </w:rPr>
      </w:pPr>
      <w:hyperlink w:anchor="_Toc45812376" w:history="1">
        <w:r w:rsidR="00201DC6" w:rsidRPr="00E93194">
          <w:rPr>
            <w:rStyle w:val="Hiperligao"/>
            <w:rFonts w:ascii="HurmeGeometricSans4 Regular" w:hAnsi="HurmeGeometricSans4 Regular"/>
            <w:noProof/>
            <w:sz w:val="22"/>
            <w:szCs w:val="22"/>
            <w:lang w:eastAsia="en-US"/>
          </w:rPr>
          <w:t>Cláusula 16.ª – Foro Competente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201DC6" w:rsidRPr="00E93194">
          <w:rPr>
            <w:noProof/>
            <w:webHidden/>
            <w:sz w:val="22"/>
            <w:szCs w:val="22"/>
          </w:rPr>
          <w:fldChar w:fldCharType="begin"/>
        </w:r>
        <w:r w:rsidR="00201DC6" w:rsidRPr="00E93194">
          <w:rPr>
            <w:noProof/>
            <w:webHidden/>
            <w:sz w:val="22"/>
            <w:szCs w:val="22"/>
          </w:rPr>
          <w:instrText xml:space="preserve"> PAGEREF _Toc45812376 \h </w:instrText>
        </w:r>
        <w:r w:rsidR="00201DC6" w:rsidRPr="00E93194">
          <w:rPr>
            <w:noProof/>
            <w:webHidden/>
            <w:sz w:val="22"/>
            <w:szCs w:val="22"/>
          </w:rPr>
        </w:r>
        <w:r w:rsidR="00201DC6" w:rsidRPr="00E93194">
          <w:rPr>
            <w:noProof/>
            <w:webHidden/>
            <w:sz w:val="22"/>
            <w:szCs w:val="22"/>
          </w:rPr>
          <w:fldChar w:fldCharType="separate"/>
        </w:r>
        <w:r w:rsidR="00614296">
          <w:rPr>
            <w:noProof/>
            <w:webHidden/>
            <w:sz w:val="22"/>
            <w:szCs w:val="22"/>
          </w:rPr>
          <w:t>7</w:t>
        </w:r>
        <w:r w:rsidR="00201DC6" w:rsidRPr="00E93194">
          <w:rPr>
            <w:noProof/>
            <w:webHidden/>
            <w:sz w:val="22"/>
            <w:szCs w:val="22"/>
          </w:rPr>
          <w:fldChar w:fldCharType="end"/>
        </w:r>
      </w:hyperlink>
    </w:p>
    <w:p w14:paraId="61A98C2F" w14:textId="7AD3C2CE" w:rsidR="00201DC6" w:rsidRPr="00E93194" w:rsidRDefault="007A624D">
      <w:pPr>
        <w:pStyle w:val="ndice2"/>
        <w:tabs>
          <w:tab w:val="right" w:leader="dot" w:pos="9628"/>
        </w:tabs>
        <w:rPr>
          <w:noProof/>
          <w:sz w:val="22"/>
          <w:szCs w:val="22"/>
        </w:rPr>
      </w:pPr>
      <w:hyperlink w:anchor="_Toc45812377" w:history="1">
        <w:r w:rsidR="00201DC6" w:rsidRPr="00E93194">
          <w:rPr>
            <w:rStyle w:val="Hiperligao"/>
            <w:rFonts w:ascii="HurmeGeometricSans4 Regular" w:hAnsi="HurmeGeometricSans4 Regular"/>
            <w:noProof/>
            <w:sz w:val="22"/>
            <w:szCs w:val="22"/>
            <w:lang w:eastAsia="en-US"/>
          </w:rPr>
          <w:t>Cláusula 17.ª – Subcontratação e Cessão da Posição Contratual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201DC6" w:rsidRPr="00E93194">
          <w:rPr>
            <w:noProof/>
            <w:webHidden/>
            <w:sz w:val="22"/>
            <w:szCs w:val="22"/>
          </w:rPr>
          <w:fldChar w:fldCharType="begin"/>
        </w:r>
        <w:r w:rsidR="00201DC6" w:rsidRPr="00E93194">
          <w:rPr>
            <w:noProof/>
            <w:webHidden/>
            <w:sz w:val="22"/>
            <w:szCs w:val="22"/>
          </w:rPr>
          <w:instrText xml:space="preserve"> PAGEREF _Toc45812377 \h </w:instrText>
        </w:r>
        <w:r w:rsidR="00201DC6" w:rsidRPr="00E93194">
          <w:rPr>
            <w:noProof/>
            <w:webHidden/>
            <w:sz w:val="22"/>
            <w:szCs w:val="22"/>
          </w:rPr>
        </w:r>
        <w:r w:rsidR="00201DC6" w:rsidRPr="00E93194">
          <w:rPr>
            <w:noProof/>
            <w:webHidden/>
            <w:sz w:val="22"/>
            <w:szCs w:val="22"/>
          </w:rPr>
          <w:fldChar w:fldCharType="separate"/>
        </w:r>
        <w:r w:rsidR="00614296">
          <w:rPr>
            <w:noProof/>
            <w:webHidden/>
            <w:sz w:val="22"/>
            <w:szCs w:val="22"/>
          </w:rPr>
          <w:t>7</w:t>
        </w:r>
        <w:r w:rsidR="00201DC6" w:rsidRPr="00E93194">
          <w:rPr>
            <w:noProof/>
            <w:webHidden/>
            <w:sz w:val="22"/>
            <w:szCs w:val="22"/>
          </w:rPr>
          <w:fldChar w:fldCharType="end"/>
        </w:r>
      </w:hyperlink>
    </w:p>
    <w:p w14:paraId="4073C3B0" w14:textId="02985ABF" w:rsidR="00201DC6" w:rsidRPr="00E93194" w:rsidRDefault="007A624D">
      <w:pPr>
        <w:pStyle w:val="ndice2"/>
        <w:tabs>
          <w:tab w:val="right" w:leader="dot" w:pos="9628"/>
        </w:tabs>
        <w:rPr>
          <w:noProof/>
          <w:sz w:val="22"/>
          <w:szCs w:val="22"/>
        </w:rPr>
      </w:pPr>
      <w:hyperlink w:anchor="_Toc45812378" w:history="1">
        <w:r w:rsidR="00201DC6" w:rsidRPr="00E93194">
          <w:rPr>
            <w:rStyle w:val="Hiperligao"/>
            <w:rFonts w:ascii="HurmeGeometricSans4 Regular" w:hAnsi="HurmeGeometricSans4 Regular"/>
            <w:noProof/>
            <w:sz w:val="22"/>
            <w:szCs w:val="22"/>
            <w:lang w:eastAsia="en-US"/>
          </w:rPr>
          <w:t>Cláusula 18.ª – Comunicações e Notificações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201DC6" w:rsidRPr="00E93194">
          <w:rPr>
            <w:noProof/>
            <w:webHidden/>
            <w:sz w:val="22"/>
            <w:szCs w:val="22"/>
          </w:rPr>
          <w:fldChar w:fldCharType="begin"/>
        </w:r>
        <w:r w:rsidR="00201DC6" w:rsidRPr="00E93194">
          <w:rPr>
            <w:noProof/>
            <w:webHidden/>
            <w:sz w:val="22"/>
            <w:szCs w:val="22"/>
          </w:rPr>
          <w:instrText xml:space="preserve"> PAGEREF _Toc45812378 \h </w:instrText>
        </w:r>
        <w:r w:rsidR="00201DC6" w:rsidRPr="00E93194">
          <w:rPr>
            <w:noProof/>
            <w:webHidden/>
            <w:sz w:val="22"/>
            <w:szCs w:val="22"/>
          </w:rPr>
        </w:r>
        <w:r w:rsidR="00201DC6" w:rsidRPr="00E93194">
          <w:rPr>
            <w:noProof/>
            <w:webHidden/>
            <w:sz w:val="22"/>
            <w:szCs w:val="22"/>
          </w:rPr>
          <w:fldChar w:fldCharType="separate"/>
        </w:r>
        <w:r w:rsidR="00614296">
          <w:rPr>
            <w:noProof/>
            <w:webHidden/>
            <w:sz w:val="22"/>
            <w:szCs w:val="22"/>
          </w:rPr>
          <w:t>7</w:t>
        </w:r>
        <w:r w:rsidR="00201DC6" w:rsidRPr="00E93194">
          <w:rPr>
            <w:noProof/>
            <w:webHidden/>
            <w:sz w:val="22"/>
            <w:szCs w:val="22"/>
          </w:rPr>
          <w:fldChar w:fldCharType="end"/>
        </w:r>
      </w:hyperlink>
    </w:p>
    <w:p w14:paraId="3426FDE5" w14:textId="429064F0" w:rsidR="00201DC6" w:rsidRPr="00E93194" w:rsidRDefault="007A624D">
      <w:pPr>
        <w:pStyle w:val="ndice2"/>
        <w:tabs>
          <w:tab w:val="right" w:leader="dot" w:pos="9628"/>
        </w:tabs>
        <w:rPr>
          <w:noProof/>
          <w:sz w:val="22"/>
          <w:szCs w:val="22"/>
        </w:rPr>
      </w:pPr>
      <w:hyperlink w:anchor="_Toc45812379" w:history="1">
        <w:r w:rsidR="00201DC6" w:rsidRPr="00E93194">
          <w:rPr>
            <w:rStyle w:val="Hiperligao"/>
            <w:rFonts w:ascii="HurmeGeometricSans4 Regular" w:hAnsi="HurmeGeometricSans4 Regular"/>
            <w:noProof/>
            <w:sz w:val="22"/>
            <w:szCs w:val="22"/>
            <w:lang w:eastAsia="en-US"/>
          </w:rPr>
          <w:t>Cláusula 19.ª – Contagem dos Prazos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201DC6" w:rsidRPr="00E93194">
          <w:rPr>
            <w:noProof/>
            <w:webHidden/>
            <w:sz w:val="22"/>
            <w:szCs w:val="22"/>
          </w:rPr>
          <w:fldChar w:fldCharType="begin"/>
        </w:r>
        <w:r w:rsidR="00201DC6" w:rsidRPr="00E93194">
          <w:rPr>
            <w:noProof/>
            <w:webHidden/>
            <w:sz w:val="22"/>
            <w:szCs w:val="22"/>
          </w:rPr>
          <w:instrText xml:space="preserve"> PAGEREF _Toc45812379 \h </w:instrText>
        </w:r>
        <w:r w:rsidR="00201DC6" w:rsidRPr="00E93194">
          <w:rPr>
            <w:noProof/>
            <w:webHidden/>
            <w:sz w:val="22"/>
            <w:szCs w:val="22"/>
          </w:rPr>
        </w:r>
        <w:r w:rsidR="00201DC6" w:rsidRPr="00E93194">
          <w:rPr>
            <w:noProof/>
            <w:webHidden/>
            <w:sz w:val="22"/>
            <w:szCs w:val="22"/>
          </w:rPr>
          <w:fldChar w:fldCharType="separate"/>
        </w:r>
        <w:r w:rsidR="00614296">
          <w:rPr>
            <w:noProof/>
            <w:webHidden/>
            <w:sz w:val="22"/>
            <w:szCs w:val="22"/>
          </w:rPr>
          <w:t>7</w:t>
        </w:r>
        <w:r w:rsidR="00201DC6" w:rsidRPr="00E93194">
          <w:rPr>
            <w:noProof/>
            <w:webHidden/>
            <w:sz w:val="22"/>
            <w:szCs w:val="22"/>
          </w:rPr>
          <w:fldChar w:fldCharType="end"/>
        </w:r>
      </w:hyperlink>
    </w:p>
    <w:p w14:paraId="56E7148E" w14:textId="33E59082" w:rsidR="00201DC6" w:rsidRPr="00E93194" w:rsidRDefault="007A624D">
      <w:pPr>
        <w:pStyle w:val="ndice2"/>
        <w:tabs>
          <w:tab w:val="right" w:leader="dot" w:pos="9628"/>
        </w:tabs>
        <w:rPr>
          <w:noProof/>
          <w:sz w:val="22"/>
          <w:szCs w:val="22"/>
        </w:rPr>
      </w:pPr>
      <w:hyperlink w:anchor="_Toc45812380" w:history="1">
        <w:r w:rsidR="00201DC6" w:rsidRPr="00E93194">
          <w:rPr>
            <w:rStyle w:val="Hiperligao"/>
            <w:rFonts w:ascii="HurmeGeometricSans4 Regular" w:hAnsi="HurmeGeometricSans4 Regular"/>
            <w:noProof/>
            <w:sz w:val="22"/>
            <w:szCs w:val="22"/>
            <w:lang w:eastAsia="en-US"/>
          </w:rPr>
          <w:t>Cláusula 20.ª – Legislação Aplicável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201DC6" w:rsidRPr="00E93194">
          <w:rPr>
            <w:noProof/>
            <w:webHidden/>
            <w:sz w:val="22"/>
            <w:szCs w:val="22"/>
          </w:rPr>
          <w:fldChar w:fldCharType="begin"/>
        </w:r>
        <w:r w:rsidR="00201DC6" w:rsidRPr="00E93194">
          <w:rPr>
            <w:noProof/>
            <w:webHidden/>
            <w:sz w:val="22"/>
            <w:szCs w:val="22"/>
          </w:rPr>
          <w:instrText xml:space="preserve"> PAGEREF _Toc45812380 \h </w:instrText>
        </w:r>
        <w:r w:rsidR="00201DC6" w:rsidRPr="00E93194">
          <w:rPr>
            <w:noProof/>
            <w:webHidden/>
            <w:sz w:val="22"/>
            <w:szCs w:val="22"/>
          </w:rPr>
        </w:r>
        <w:r w:rsidR="00201DC6" w:rsidRPr="00E93194">
          <w:rPr>
            <w:noProof/>
            <w:webHidden/>
            <w:sz w:val="22"/>
            <w:szCs w:val="22"/>
          </w:rPr>
          <w:fldChar w:fldCharType="separate"/>
        </w:r>
        <w:r w:rsidR="00614296">
          <w:rPr>
            <w:noProof/>
            <w:webHidden/>
            <w:sz w:val="22"/>
            <w:szCs w:val="22"/>
          </w:rPr>
          <w:t>7</w:t>
        </w:r>
        <w:r w:rsidR="00201DC6" w:rsidRPr="00E93194">
          <w:rPr>
            <w:noProof/>
            <w:webHidden/>
            <w:sz w:val="22"/>
            <w:szCs w:val="22"/>
          </w:rPr>
          <w:fldChar w:fldCharType="end"/>
        </w:r>
      </w:hyperlink>
    </w:p>
    <w:p w14:paraId="7A0C67AB" w14:textId="6D564AB5" w:rsidR="00201DC6" w:rsidRPr="00E93194" w:rsidRDefault="007A624D">
      <w:pPr>
        <w:pStyle w:val="ndice1"/>
        <w:tabs>
          <w:tab w:val="right" w:leader="dot" w:pos="9628"/>
        </w:tabs>
        <w:rPr>
          <w:noProof/>
          <w:sz w:val="22"/>
          <w:szCs w:val="22"/>
        </w:rPr>
      </w:pPr>
      <w:hyperlink w:anchor="_Toc45812381" w:history="1">
        <w:r w:rsidR="00201DC6" w:rsidRPr="00E93194">
          <w:rPr>
            <w:rStyle w:val="Hiperligao"/>
            <w:rFonts w:ascii="HurmeGeometricSans4 Regular" w:hAnsi="HurmeGeometricSans4 Regular"/>
            <w:smallCaps/>
            <w:noProof/>
            <w:sz w:val="22"/>
            <w:szCs w:val="22"/>
            <w:lang w:eastAsia="en-US"/>
          </w:rPr>
          <w:t>Capítulo IV – Disposições Técnicas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201DC6" w:rsidRPr="00E93194">
          <w:rPr>
            <w:noProof/>
            <w:webHidden/>
            <w:sz w:val="22"/>
            <w:szCs w:val="22"/>
          </w:rPr>
          <w:fldChar w:fldCharType="begin"/>
        </w:r>
        <w:r w:rsidR="00201DC6" w:rsidRPr="00E93194">
          <w:rPr>
            <w:noProof/>
            <w:webHidden/>
            <w:sz w:val="22"/>
            <w:szCs w:val="22"/>
          </w:rPr>
          <w:instrText xml:space="preserve"> PAGEREF _Toc45812381 \h </w:instrText>
        </w:r>
        <w:r w:rsidR="00201DC6" w:rsidRPr="00E93194">
          <w:rPr>
            <w:noProof/>
            <w:webHidden/>
            <w:sz w:val="22"/>
            <w:szCs w:val="22"/>
          </w:rPr>
        </w:r>
        <w:r w:rsidR="00201DC6" w:rsidRPr="00E93194">
          <w:rPr>
            <w:noProof/>
            <w:webHidden/>
            <w:sz w:val="22"/>
            <w:szCs w:val="22"/>
          </w:rPr>
          <w:fldChar w:fldCharType="separate"/>
        </w:r>
        <w:r w:rsidR="00614296">
          <w:rPr>
            <w:noProof/>
            <w:webHidden/>
            <w:sz w:val="22"/>
            <w:szCs w:val="22"/>
          </w:rPr>
          <w:t>7</w:t>
        </w:r>
        <w:r w:rsidR="00201DC6" w:rsidRPr="00E93194">
          <w:rPr>
            <w:noProof/>
            <w:webHidden/>
            <w:sz w:val="22"/>
            <w:szCs w:val="22"/>
          </w:rPr>
          <w:fldChar w:fldCharType="end"/>
        </w:r>
      </w:hyperlink>
    </w:p>
    <w:p w14:paraId="48F21464" w14:textId="2E2BC37F" w:rsidR="00201DC6" w:rsidRPr="00E93194" w:rsidRDefault="007A624D">
      <w:pPr>
        <w:pStyle w:val="ndice2"/>
        <w:tabs>
          <w:tab w:val="right" w:leader="dot" w:pos="9628"/>
        </w:tabs>
        <w:rPr>
          <w:noProof/>
          <w:sz w:val="22"/>
          <w:szCs w:val="22"/>
        </w:rPr>
      </w:pPr>
      <w:hyperlink w:anchor="_Toc45812382" w:history="1">
        <w:r w:rsidR="00201DC6" w:rsidRPr="00E93194">
          <w:rPr>
            <w:rStyle w:val="Hiperligao"/>
            <w:rFonts w:ascii="HurmeGeometricSans4 Regular" w:hAnsi="HurmeGeometricSans4 Regular"/>
            <w:noProof/>
            <w:sz w:val="22"/>
            <w:szCs w:val="22"/>
            <w:lang w:eastAsia="en-US"/>
          </w:rPr>
          <w:t>Cláusula 21.ª – Especificações da Prestação de Serviços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201DC6" w:rsidRPr="00E93194">
          <w:rPr>
            <w:noProof/>
            <w:webHidden/>
            <w:sz w:val="22"/>
            <w:szCs w:val="22"/>
          </w:rPr>
          <w:fldChar w:fldCharType="begin"/>
        </w:r>
        <w:r w:rsidR="00201DC6" w:rsidRPr="00E93194">
          <w:rPr>
            <w:noProof/>
            <w:webHidden/>
            <w:sz w:val="22"/>
            <w:szCs w:val="22"/>
          </w:rPr>
          <w:instrText xml:space="preserve"> PAGEREF _Toc45812382 \h </w:instrText>
        </w:r>
        <w:r w:rsidR="00201DC6" w:rsidRPr="00E93194">
          <w:rPr>
            <w:noProof/>
            <w:webHidden/>
            <w:sz w:val="22"/>
            <w:szCs w:val="22"/>
          </w:rPr>
        </w:r>
        <w:r w:rsidR="00201DC6" w:rsidRPr="00E93194">
          <w:rPr>
            <w:noProof/>
            <w:webHidden/>
            <w:sz w:val="22"/>
            <w:szCs w:val="22"/>
          </w:rPr>
          <w:fldChar w:fldCharType="separate"/>
        </w:r>
        <w:r w:rsidR="00614296">
          <w:rPr>
            <w:noProof/>
            <w:webHidden/>
            <w:sz w:val="22"/>
            <w:szCs w:val="22"/>
          </w:rPr>
          <w:t>7</w:t>
        </w:r>
        <w:r w:rsidR="00201DC6" w:rsidRPr="00E93194">
          <w:rPr>
            <w:noProof/>
            <w:webHidden/>
            <w:sz w:val="22"/>
            <w:szCs w:val="22"/>
          </w:rPr>
          <w:fldChar w:fldCharType="end"/>
        </w:r>
      </w:hyperlink>
    </w:p>
    <w:p w14:paraId="0A05112E" w14:textId="59E7288C" w:rsidR="00201DC6" w:rsidRPr="00E93194" w:rsidRDefault="007A624D">
      <w:pPr>
        <w:pStyle w:val="ndice2"/>
        <w:tabs>
          <w:tab w:val="right" w:leader="dot" w:pos="9628"/>
        </w:tabs>
        <w:rPr>
          <w:noProof/>
          <w:sz w:val="22"/>
          <w:szCs w:val="22"/>
        </w:rPr>
      </w:pPr>
      <w:hyperlink w:anchor="_Toc45812383" w:history="1">
        <w:r w:rsidR="00201DC6" w:rsidRPr="00E93194">
          <w:rPr>
            <w:rStyle w:val="Hiperligao"/>
            <w:rFonts w:ascii="HurmeGeometricSans4 Regular" w:hAnsi="HurmeGeometricSans4 Regular"/>
            <w:noProof/>
            <w:sz w:val="22"/>
            <w:szCs w:val="22"/>
            <w:lang w:eastAsia="en-US"/>
          </w:rPr>
          <w:t>Cláusula 22.ª – Preço Base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8E4D19">
          <w:rPr>
            <w:noProof/>
            <w:webHidden/>
            <w:sz w:val="22"/>
            <w:szCs w:val="22"/>
          </w:rPr>
          <w:t>9</w:t>
        </w:r>
      </w:hyperlink>
    </w:p>
    <w:p w14:paraId="7F70C4CF" w14:textId="13298E1E" w:rsidR="00201DC6" w:rsidRPr="00201DC6" w:rsidRDefault="007A624D">
      <w:pPr>
        <w:pStyle w:val="ndice2"/>
        <w:tabs>
          <w:tab w:val="right" w:leader="dot" w:pos="9628"/>
        </w:tabs>
        <w:rPr>
          <w:noProof/>
          <w:sz w:val="22"/>
          <w:szCs w:val="22"/>
        </w:rPr>
      </w:pPr>
      <w:hyperlink w:anchor="_Toc45812384" w:history="1">
        <w:r w:rsidR="00201DC6" w:rsidRPr="00E93194">
          <w:rPr>
            <w:rStyle w:val="Hiperligao"/>
            <w:rFonts w:ascii="HurmeGeometricSans4 Regular" w:hAnsi="HurmeGeometricSans4 Regular"/>
            <w:noProof/>
            <w:sz w:val="22"/>
            <w:szCs w:val="22"/>
            <w:lang w:eastAsia="en-US"/>
          </w:rPr>
          <w:t xml:space="preserve">Cláusula </w:t>
        </w:r>
        <w:r w:rsidR="00201DC6" w:rsidRPr="00E93194">
          <w:rPr>
            <w:rStyle w:val="Hiperligao"/>
            <w:rFonts w:ascii="HurmeGeometricSans4 Regular" w:hAnsi="HurmeGeometricSans4 Regular" w:cs="Calibri Light"/>
            <w:noProof/>
            <w:sz w:val="22"/>
            <w:szCs w:val="22"/>
            <w:lang w:eastAsia="en-US"/>
          </w:rPr>
          <w:t>23ª Preço A</w:t>
        </w:r>
        <w:r w:rsidR="00201DC6" w:rsidRPr="00E93194">
          <w:rPr>
            <w:rStyle w:val="Hiperligao"/>
            <w:rFonts w:ascii="HurmeGeometricSans4 Regular" w:hAnsi="HurmeGeometricSans4 Regular"/>
            <w:noProof/>
            <w:sz w:val="22"/>
            <w:szCs w:val="22"/>
            <w:lang w:eastAsia="en-US"/>
          </w:rPr>
          <w:t>normalmente Baixo</w:t>
        </w:r>
        <w:r w:rsidR="00201DC6" w:rsidRPr="00E93194">
          <w:rPr>
            <w:noProof/>
            <w:webHidden/>
            <w:sz w:val="22"/>
            <w:szCs w:val="22"/>
          </w:rPr>
          <w:tab/>
        </w:r>
        <w:r w:rsidR="008E4D19">
          <w:rPr>
            <w:noProof/>
            <w:webHidden/>
            <w:sz w:val="22"/>
            <w:szCs w:val="22"/>
          </w:rPr>
          <w:t>9</w:t>
        </w:r>
      </w:hyperlink>
    </w:p>
    <w:p w14:paraId="69942185" w14:textId="243B34C2" w:rsidR="001E1563" w:rsidRPr="00E97B80" w:rsidRDefault="001E1563" w:rsidP="00A459A5">
      <w:pPr>
        <w:jc w:val="both"/>
        <w:rPr>
          <w:rFonts w:ascii="HurmeGeometricSans4 Regular" w:eastAsia="Calibri" w:hAnsi="HurmeGeometricSans4 Regular"/>
          <w:b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/>
          <w:b/>
          <w:sz w:val="20"/>
          <w:szCs w:val="20"/>
          <w:lang w:eastAsia="en-US"/>
        </w:rPr>
        <w:fldChar w:fldCharType="end"/>
      </w:r>
    </w:p>
    <w:p w14:paraId="72D6CB4C" w14:textId="77777777" w:rsidR="001E1563" w:rsidRPr="00E97B80" w:rsidRDefault="001E1563" w:rsidP="00A459A5">
      <w:pPr>
        <w:jc w:val="both"/>
        <w:rPr>
          <w:rFonts w:ascii="HurmeGeometricSans4 Regular" w:eastAsia="Calibri" w:hAnsi="HurmeGeometricSans4 Regular"/>
          <w:b/>
          <w:sz w:val="20"/>
          <w:szCs w:val="20"/>
          <w:lang w:eastAsia="en-US"/>
        </w:rPr>
      </w:pPr>
    </w:p>
    <w:p w14:paraId="35421699" w14:textId="032C1C55" w:rsidR="000311D0" w:rsidRDefault="000311D0">
      <w:pPr>
        <w:rPr>
          <w:rFonts w:ascii="HurmeGeometricSans4 Regular" w:eastAsia="Calibri" w:hAnsi="HurmeGeometricSans4 Regular"/>
          <w:b/>
          <w:sz w:val="20"/>
          <w:szCs w:val="20"/>
          <w:lang w:eastAsia="en-US"/>
        </w:rPr>
      </w:pPr>
      <w:r>
        <w:rPr>
          <w:rFonts w:ascii="HurmeGeometricSans4 Regular" w:eastAsia="Calibri" w:hAnsi="HurmeGeometricSans4 Regular"/>
          <w:b/>
          <w:sz w:val="20"/>
          <w:szCs w:val="20"/>
          <w:lang w:eastAsia="en-US"/>
        </w:rPr>
        <w:br w:type="page"/>
      </w:r>
    </w:p>
    <w:p w14:paraId="61E698BD" w14:textId="5479E010" w:rsidR="001E1563" w:rsidRPr="000311D0" w:rsidRDefault="001E1563" w:rsidP="000311D0">
      <w:pPr>
        <w:keepNext/>
        <w:keepLines/>
        <w:spacing w:line="312" w:lineRule="auto"/>
        <w:jc w:val="center"/>
        <w:outlineLvl w:val="0"/>
        <w:rPr>
          <w:rFonts w:ascii="HurmeGeometricSans4 Regular" w:hAnsi="HurmeGeometricSans4 Regular"/>
          <w:b/>
          <w:smallCaps/>
          <w:szCs w:val="20"/>
          <w:lang w:eastAsia="en-US"/>
        </w:rPr>
      </w:pPr>
      <w:bookmarkStart w:id="2" w:name="_Toc45812358"/>
      <w:r w:rsidRPr="000311D0">
        <w:rPr>
          <w:rFonts w:ascii="HurmeGeometricSans4 Regular" w:hAnsi="HurmeGeometricSans4 Regular"/>
          <w:b/>
          <w:smallCaps/>
          <w:szCs w:val="20"/>
          <w:lang w:eastAsia="en-US"/>
        </w:rPr>
        <w:lastRenderedPageBreak/>
        <w:t>Capítulo I - Disposições Gerais</w:t>
      </w:r>
      <w:bookmarkEnd w:id="2"/>
    </w:p>
    <w:p w14:paraId="667E70C9" w14:textId="77777777" w:rsidR="001E1563" w:rsidRPr="00E97B80" w:rsidRDefault="001E1563" w:rsidP="000311D0">
      <w:pPr>
        <w:keepNext/>
        <w:keepLines/>
        <w:spacing w:before="120"/>
        <w:jc w:val="center"/>
        <w:outlineLvl w:val="1"/>
        <w:rPr>
          <w:rFonts w:ascii="HurmeGeometricSans4 Regular" w:hAnsi="HurmeGeometricSans4 Regular"/>
          <w:b/>
          <w:sz w:val="20"/>
          <w:szCs w:val="20"/>
          <w:lang w:eastAsia="en-US"/>
        </w:rPr>
      </w:pPr>
      <w:bookmarkStart w:id="3" w:name="_Toc45812359"/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>Cláusula 1.ª – Objeto</w:t>
      </w:r>
      <w:bookmarkEnd w:id="3"/>
    </w:p>
    <w:p w14:paraId="1BB9BEF7" w14:textId="304B96ED" w:rsidR="001E1563" w:rsidRPr="00E97B80" w:rsidRDefault="001E1563" w:rsidP="000311D0">
      <w:pPr>
        <w:autoSpaceDE w:val="0"/>
        <w:autoSpaceDN w:val="0"/>
        <w:adjustRightInd w:val="0"/>
        <w:spacing w:before="120" w:line="312" w:lineRule="auto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O presente caderno de encargos compreende as cláusulas a incluir no contrato a celebrar na sequência do procedimento prévio que tem por objeto a </w:t>
      </w:r>
      <w:r w:rsidR="00BA16EA" w:rsidRPr="00BA16EA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“</w:t>
      </w:r>
      <w:r w:rsidR="00BF16CE" w:rsidRPr="000311D0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>Monitorização d</w:t>
      </w:r>
      <w:r w:rsidR="000311D0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 xml:space="preserve">a ação </w:t>
      </w:r>
      <w:r w:rsidR="000311D0" w:rsidRPr="000311D0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 xml:space="preserve">MAP </w:t>
      </w:r>
      <w:r w:rsidR="000311D0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>–</w:t>
      </w:r>
      <w:r w:rsidR="000311D0" w:rsidRPr="000311D0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 xml:space="preserve"> </w:t>
      </w:r>
      <w:r w:rsidR="000311D0" w:rsidRPr="000311D0">
        <w:rPr>
          <w:rFonts w:ascii="HurmeGeometricSans4 Regular" w:eastAsia="Calibri" w:hAnsi="HurmeGeometricSans4 Regular" w:cs="Calibri Light"/>
          <w:b/>
          <w:bCs/>
          <w:i/>
          <w:iCs/>
          <w:color w:val="000000"/>
          <w:sz w:val="20"/>
          <w:szCs w:val="20"/>
          <w:lang w:eastAsia="en-US"/>
        </w:rPr>
        <w:t>Minho Access Point</w:t>
      </w:r>
      <w:r w:rsidR="000952B6" w:rsidRPr="000952B6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 xml:space="preserve">, </w:t>
      </w:r>
      <w:r w:rsidR="000952B6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>integrada n</w:t>
      </w:r>
      <w:r w:rsidR="00BF16CE" w:rsidRPr="000311D0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>o</w:t>
      </w:r>
      <w:r w:rsidR="000952B6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 xml:space="preserve"> Piloto 4 </w:t>
      </w:r>
      <w:r w:rsidR="000952B6" w:rsidRPr="000311D0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 xml:space="preserve">MMTIS </w:t>
      </w:r>
      <w:r w:rsidR="00764A15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>(</w:t>
      </w:r>
      <w:r w:rsidR="000952B6" w:rsidRPr="00796958">
        <w:rPr>
          <w:rFonts w:ascii="HurmeGeometricSans4 Regular" w:eastAsia="Calibri" w:hAnsi="HurmeGeometricSans4 Regular" w:cs="Calibri Light"/>
          <w:b/>
          <w:bCs/>
          <w:i/>
          <w:iCs/>
          <w:color w:val="000000"/>
          <w:sz w:val="20"/>
          <w:szCs w:val="20"/>
          <w:lang w:eastAsia="en-US"/>
        </w:rPr>
        <w:t>Multimodal Travel Information Services</w:t>
      </w:r>
      <w:r w:rsidR="00764A15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>)</w:t>
      </w:r>
      <w:r w:rsidR="000952B6" w:rsidRPr="000311D0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 xml:space="preserve"> </w:t>
      </w:r>
      <w:r w:rsidR="000952B6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 xml:space="preserve">do </w:t>
      </w:r>
      <w:r w:rsidR="00BF16CE" w:rsidRPr="000311D0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 xml:space="preserve">projeto </w:t>
      </w:r>
      <w:r w:rsidR="000952B6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 xml:space="preserve">europeu </w:t>
      </w:r>
      <w:r w:rsidR="00BF16CE" w:rsidRPr="000311D0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 xml:space="preserve">Cooperative Streets </w:t>
      </w:r>
      <w:r w:rsidR="000311D0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>(</w:t>
      </w:r>
      <w:r w:rsidR="000952B6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>Action nº 2018-PT-TM-0099-S)</w:t>
      </w:r>
      <w:r w:rsidR="00BF16CE" w:rsidRPr="000311D0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 xml:space="preserve">, </w:t>
      </w:r>
      <w:r w:rsidR="000311D0" w:rsidRPr="000311D0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 xml:space="preserve">que </w:t>
      </w:r>
      <w:r w:rsidR="00BF16CE" w:rsidRPr="000311D0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 xml:space="preserve">inclua </w:t>
      </w:r>
      <w:r w:rsidR="00A30E13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 xml:space="preserve">apoio à gestão, </w:t>
      </w:r>
      <w:r w:rsidR="000311D0" w:rsidRPr="000311D0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 xml:space="preserve">acompanhamento </w:t>
      </w:r>
      <w:r w:rsidR="00BF16CE" w:rsidRPr="000311D0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>técnico</w:t>
      </w:r>
      <w:r w:rsidR="00A4218F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>,</w:t>
      </w:r>
      <w:r w:rsidR="00250DA8" w:rsidRPr="000311D0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 xml:space="preserve"> tecnológic</w:t>
      </w:r>
      <w:r w:rsidR="00250DA8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>o</w:t>
      </w:r>
      <w:r w:rsidR="00436786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 xml:space="preserve">, </w:t>
      </w:r>
      <w:r w:rsidR="00BF16CE" w:rsidRPr="000311D0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>administrativo e de report</w:t>
      </w:r>
      <w:r w:rsidR="000311D0" w:rsidRPr="000311D0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>e</w:t>
      </w:r>
      <w:r w:rsidR="00BF16CE" w:rsidRPr="000311D0">
        <w:rPr>
          <w:rFonts w:ascii="HurmeGeometricSans4 Regular" w:eastAsia="Calibri" w:hAnsi="HurmeGeometricSans4 Regular" w:cs="Calibri Light"/>
          <w:b/>
          <w:bCs/>
          <w:color w:val="000000"/>
          <w:sz w:val="20"/>
          <w:szCs w:val="20"/>
          <w:lang w:eastAsia="en-US"/>
        </w:rPr>
        <w:t xml:space="preserve"> financeiro</w:t>
      </w:r>
      <w:r w:rsidR="00BA16EA" w:rsidRPr="00BA16EA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”</w:t>
      </w:r>
      <w:r w:rsidR="00BA16EA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, </w:t>
      </w: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de acordo com as especificações técnicas constantes do capítulo IV do presente caderno de encargos.</w:t>
      </w:r>
    </w:p>
    <w:p w14:paraId="3FDFCB71" w14:textId="77777777" w:rsidR="001E1563" w:rsidRPr="00E97B80" w:rsidRDefault="001E1563" w:rsidP="00A459A5">
      <w:pPr>
        <w:jc w:val="both"/>
        <w:rPr>
          <w:rFonts w:ascii="HurmeGeometricSans4 Regular" w:eastAsia="Calibri" w:hAnsi="HurmeGeometricSans4 Regular"/>
          <w:sz w:val="20"/>
          <w:szCs w:val="20"/>
          <w:lang w:eastAsia="en-US"/>
        </w:rPr>
      </w:pPr>
    </w:p>
    <w:p w14:paraId="078C935C" w14:textId="3CE860A4" w:rsidR="001E1563" w:rsidRPr="00E97B80" w:rsidRDefault="001E1563" w:rsidP="009A3533">
      <w:pPr>
        <w:keepNext/>
        <w:keepLines/>
        <w:jc w:val="center"/>
        <w:outlineLvl w:val="1"/>
        <w:rPr>
          <w:rFonts w:ascii="HurmeGeometricSans4 Regular" w:hAnsi="HurmeGeometricSans4 Regular"/>
          <w:b/>
          <w:sz w:val="20"/>
          <w:szCs w:val="20"/>
          <w:lang w:eastAsia="en-US"/>
        </w:rPr>
      </w:pPr>
      <w:bookmarkStart w:id="4" w:name="_Toc45812360"/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Cláusula 2.ª – Local, </w:t>
      </w:r>
      <w:r w:rsidR="000952B6">
        <w:rPr>
          <w:rFonts w:ascii="HurmeGeometricSans4 Regular" w:hAnsi="HurmeGeometricSans4 Regular"/>
          <w:b/>
          <w:sz w:val="20"/>
          <w:szCs w:val="20"/>
          <w:lang w:eastAsia="en-US"/>
        </w:rPr>
        <w:t>P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razo e </w:t>
      </w:r>
      <w:r w:rsidR="000952B6">
        <w:rPr>
          <w:rFonts w:ascii="HurmeGeometricSans4 Regular" w:hAnsi="HurmeGeometricSans4 Regular"/>
          <w:b/>
          <w:sz w:val="20"/>
          <w:szCs w:val="20"/>
          <w:lang w:eastAsia="en-US"/>
        </w:rPr>
        <w:t>M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odo da </w:t>
      </w:r>
      <w:r w:rsidR="000952B6">
        <w:rPr>
          <w:rFonts w:ascii="HurmeGeometricSans4 Regular" w:hAnsi="HurmeGeometricSans4 Regular"/>
          <w:b/>
          <w:sz w:val="20"/>
          <w:szCs w:val="20"/>
          <w:lang w:eastAsia="en-US"/>
        </w:rPr>
        <w:t>P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>restação</w:t>
      </w:r>
      <w:bookmarkEnd w:id="4"/>
    </w:p>
    <w:p w14:paraId="42AFDC29" w14:textId="49CC6FF1" w:rsidR="001E1563" w:rsidRPr="00E97B80" w:rsidRDefault="001E1563" w:rsidP="00796958">
      <w:pPr>
        <w:autoSpaceDE w:val="0"/>
        <w:autoSpaceDN w:val="0"/>
        <w:adjustRightInd w:val="0"/>
        <w:spacing w:before="120" w:line="312" w:lineRule="auto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Os serviços objeto do contrato serão prestados para o território </w:t>
      </w:r>
      <w:r w:rsidR="007D3462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Associação de </w:t>
      </w:r>
      <w:r w:rsidR="007D3462" w:rsidRPr="00621BC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Municípios de Fins Específicos</w:t>
      </w:r>
      <w:r w:rsidR="007D3462"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Quadrilátero Urbano</w:t>
      </w:r>
      <w:r w:rsidR="000152ED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.</w:t>
      </w: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</w:t>
      </w:r>
      <w:r w:rsidR="000152ED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A </w:t>
      </w: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prestação </w:t>
      </w:r>
      <w:r w:rsidR="00D817A4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de serviços </w:t>
      </w: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pretendida, com as características e especificações previstas no Capítulo </w:t>
      </w:r>
      <w:r w:rsidR="00A459A5"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IV</w:t>
      </w:r>
      <w:r w:rsidR="000152ED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,</w:t>
      </w:r>
      <w:r w:rsidR="00A459A5"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tem início no dia seguinte a </w:t>
      </w: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contar da celebração do contrato e mantém-se em vigor por um período máximo de </w:t>
      </w:r>
      <w:r w:rsidR="0099298A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42 meses</w:t>
      </w: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,</w:t>
      </w:r>
      <w:r w:rsidRPr="00796958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</w:t>
      </w: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sem prejuízo das obrigações acessórias que devam perdurar para além desse prazo.</w:t>
      </w:r>
    </w:p>
    <w:p w14:paraId="6F9DF213" w14:textId="77777777" w:rsidR="001E1563" w:rsidRPr="00E97B80" w:rsidRDefault="001E1563" w:rsidP="00A459A5">
      <w:pPr>
        <w:jc w:val="both"/>
        <w:rPr>
          <w:rFonts w:ascii="HurmeGeometricSans4 Regular" w:eastAsia="Calibri" w:hAnsi="HurmeGeometricSans4 Regular"/>
          <w:sz w:val="20"/>
          <w:szCs w:val="20"/>
          <w:lang w:eastAsia="en-US"/>
        </w:rPr>
      </w:pPr>
    </w:p>
    <w:p w14:paraId="195CB34C" w14:textId="77777777" w:rsidR="001E1563" w:rsidRPr="00E97B80" w:rsidRDefault="001E1563" w:rsidP="009A3533">
      <w:pPr>
        <w:keepNext/>
        <w:keepLines/>
        <w:jc w:val="center"/>
        <w:outlineLvl w:val="1"/>
        <w:rPr>
          <w:rFonts w:ascii="HurmeGeometricSans4 Regular" w:hAnsi="HurmeGeometricSans4 Regular"/>
          <w:b/>
          <w:sz w:val="20"/>
          <w:szCs w:val="20"/>
          <w:lang w:eastAsia="en-US"/>
        </w:rPr>
      </w:pPr>
      <w:bookmarkStart w:id="5" w:name="_Toc45812361"/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>Cláusula 3.ª – Contrato</w:t>
      </w:r>
      <w:bookmarkEnd w:id="5"/>
    </w:p>
    <w:p w14:paraId="14572FC5" w14:textId="7867C57B" w:rsidR="00A459A5" w:rsidRPr="00E97B80" w:rsidRDefault="001E1563" w:rsidP="00796958">
      <w:pPr>
        <w:numPr>
          <w:ilvl w:val="0"/>
          <w:numId w:val="6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O contrato é composto pelo respetivo clausulado contratual e os seus anexos</w:t>
      </w:r>
      <w:r w:rsidR="008A4116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. I</w:t>
      </w: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ntegra ainda os seguintes elementos:</w:t>
      </w:r>
    </w:p>
    <w:p w14:paraId="6FD06524" w14:textId="77777777" w:rsidR="001E1563" w:rsidRPr="00E97B80" w:rsidRDefault="001E1563" w:rsidP="00796958">
      <w:pPr>
        <w:numPr>
          <w:ilvl w:val="0"/>
          <w:numId w:val="24"/>
        </w:numPr>
        <w:autoSpaceDE w:val="0"/>
        <w:autoSpaceDN w:val="0"/>
        <w:adjustRightInd w:val="0"/>
        <w:ind w:left="714" w:hanging="357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Os suprimentos dos erros e das omissões do caderno de encargos identificados pelo/s concorrente/s, desde que esses erros e omissões tenham sido expressamente aceites pelo órgão competente para a</w:t>
      </w:r>
      <w:r w:rsidRPr="00E97B80">
        <w:rPr>
          <w:rFonts w:ascii="HurmeGeometricSans4 Regular" w:eastAsia="Calibri" w:hAnsi="HurmeGeometricSans4 Regular"/>
          <w:color w:val="000000"/>
          <w:sz w:val="20"/>
          <w:szCs w:val="20"/>
          <w:lang w:eastAsia="en-US"/>
        </w:rPr>
        <w:t xml:space="preserve"> </w:t>
      </w: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decisão de contratar; </w:t>
      </w:r>
    </w:p>
    <w:p w14:paraId="28C50858" w14:textId="77777777" w:rsidR="001E1563" w:rsidRPr="00E97B80" w:rsidRDefault="001E1563" w:rsidP="00796958">
      <w:pPr>
        <w:numPr>
          <w:ilvl w:val="0"/>
          <w:numId w:val="24"/>
        </w:numPr>
        <w:autoSpaceDE w:val="0"/>
        <w:autoSpaceDN w:val="0"/>
        <w:adjustRightInd w:val="0"/>
        <w:spacing w:before="60"/>
        <w:ind w:left="714" w:hanging="357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Os esclarecimentos e as retificações relativos ao caderno de encargos;</w:t>
      </w:r>
    </w:p>
    <w:p w14:paraId="29DDF1F6" w14:textId="77777777" w:rsidR="001E1563" w:rsidRPr="00E97B80" w:rsidRDefault="001E1563" w:rsidP="00796958">
      <w:pPr>
        <w:numPr>
          <w:ilvl w:val="0"/>
          <w:numId w:val="24"/>
        </w:numPr>
        <w:autoSpaceDE w:val="0"/>
        <w:autoSpaceDN w:val="0"/>
        <w:adjustRightInd w:val="0"/>
        <w:spacing w:before="60"/>
        <w:ind w:left="714" w:hanging="357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O presente caderno de encargos;</w:t>
      </w:r>
    </w:p>
    <w:p w14:paraId="4298239D" w14:textId="77777777" w:rsidR="001E1563" w:rsidRPr="00E97B80" w:rsidRDefault="001E1563" w:rsidP="00796958">
      <w:pPr>
        <w:numPr>
          <w:ilvl w:val="0"/>
          <w:numId w:val="24"/>
        </w:numPr>
        <w:autoSpaceDE w:val="0"/>
        <w:autoSpaceDN w:val="0"/>
        <w:adjustRightInd w:val="0"/>
        <w:spacing w:before="60"/>
        <w:ind w:left="714" w:hanging="357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A proposta adjudicada;</w:t>
      </w:r>
    </w:p>
    <w:p w14:paraId="619B0F2E" w14:textId="77777777" w:rsidR="001E1563" w:rsidRPr="00E97B80" w:rsidRDefault="001E1563" w:rsidP="00796958">
      <w:pPr>
        <w:numPr>
          <w:ilvl w:val="0"/>
          <w:numId w:val="24"/>
        </w:numPr>
        <w:autoSpaceDE w:val="0"/>
        <w:autoSpaceDN w:val="0"/>
        <w:adjustRightInd w:val="0"/>
        <w:spacing w:before="60"/>
        <w:ind w:left="714" w:hanging="357"/>
        <w:jc w:val="both"/>
        <w:rPr>
          <w:rFonts w:ascii="HurmeGeometricSans4 Regular" w:eastAsia="Calibri" w:hAnsi="HurmeGeometricSans4 Regular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Os esclarecimentos sobre a proposta adjudicada prestados pelo adjudicatário. </w:t>
      </w:r>
    </w:p>
    <w:p w14:paraId="14A24D0D" w14:textId="77777777" w:rsidR="001E1563" w:rsidRPr="00E97B80" w:rsidRDefault="001E1563" w:rsidP="00796958">
      <w:pPr>
        <w:numPr>
          <w:ilvl w:val="0"/>
          <w:numId w:val="6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Em caso de divergência entre os documentos referidos no n.º 1, a respetiva prevalência é determinada pela ordem pela qual aí são indicados. </w:t>
      </w:r>
    </w:p>
    <w:p w14:paraId="3172B06F" w14:textId="77777777" w:rsidR="001E1563" w:rsidRPr="00E97B80" w:rsidRDefault="001E1563" w:rsidP="00796958">
      <w:pPr>
        <w:numPr>
          <w:ilvl w:val="0"/>
          <w:numId w:val="6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Em caso de divergência entre os documentos referidos no n.º 1 e o clausulado do contrato e seus anexos, prevalecem os primeiros salvo quanto aos ajustamentos propostos, conforme disposto no art.º 99 do CCP, e aceites pelo adjudicatário nos termos do art.º 101 do mesmo Código.</w:t>
      </w:r>
    </w:p>
    <w:p w14:paraId="17E75B75" w14:textId="77777777" w:rsidR="001E1563" w:rsidRPr="00E97B80" w:rsidRDefault="001E1563" w:rsidP="00A459A5">
      <w:pPr>
        <w:jc w:val="both"/>
        <w:rPr>
          <w:rFonts w:ascii="HurmeGeometricSans4 Regular" w:eastAsia="Arial Unicode MS" w:hAnsi="HurmeGeometricSans4 Regular" w:cs="Arial"/>
          <w:color w:val="6E6F71"/>
          <w:sz w:val="22"/>
          <w:szCs w:val="17"/>
          <w:lang w:eastAsia="en-US"/>
        </w:rPr>
      </w:pPr>
    </w:p>
    <w:p w14:paraId="762F902F" w14:textId="205FC3C0" w:rsidR="00274CAD" w:rsidRPr="00D91D53" w:rsidRDefault="001E1563" w:rsidP="00D91D53">
      <w:pPr>
        <w:keepNext/>
        <w:keepLines/>
        <w:spacing w:line="312" w:lineRule="auto"/>
        <w:jc w:val="center"/>
        <w:outlineLvl w:val="0"/>
        <w:rPr>
          <w:rFonts w:ascii="HurmeGeometricSans4 Regular" w:hAnsi="HurmeGeometricSans4 Regular"/>
          <w:b/>
          <w:smallCaps/>
          <w:szCs w:val="20"/>
          <w:lang w:eastAsia="en-US"/>
        </w:rPr>
      </w:pPr>
      <w:bookmarkStart w:id="6" w:name="_Toc45812362"/>
      <w:r w:rsidRPr="00D91D53">
        <w:rPr>
          <w:rFonts w:ascii="HurmeGeometricSans4 Regular" w:hAnsi="HurmeGeometricSans4 Regular"/>
          <w:b/>
          <w:smallCaps/>
          <w:szCs w:val="20"/>
          <w:lang w:eastAsia="en-US"/>
        </w:rPr>
        <w:t>Capítulo II – Obrigações das Partes</w:t>
      </w:r>
      <w:bookmarkEnd w:id="6"/>
    </w:p>
    <w:p w14:paraId="59574B34" w14:textId="13F8003D" w:rsidR="001E1563" w:rsidRPr="00E97B80" w:rsidRDefault="001E1563" w:rsidP="00D91D53">
      <w:pPr>
        <w:keepNext/>
        <w:keepLines/>
        <w:spacing w:before="120"/>
        <w:jc w:val="center"/>
        <w:outlineLvl w:val="1"/>
        <w:rPr>
          <w:rFonts w:ascii="HurmeGeometricSans4 Regular" w:hAnsi="HurmeGeometricSans4 Regular"/>
          <w:b/>
          <w:sz w:val="20"/>
          <w:szCs w:val="20"/>
          <w:lang w:eastAsia="en-US"/>
        </w:rPr>
      </w:pPr>
      <w:bookmarkStart w:id="7" w:name="_Toc45812363"/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Cláusula 4.ª – Obrigações do </w:t>
      </w:r>
      <w:r w:rsidR="002E6E36">
        <w:rPr>
          <w:rFonts w:ascii="HurmeGeometricSans4 Regular" w:hAnsi="HurmeGeometricSans4 Regular"/>
          <w:b/>
          <w:sz w:val="20"/>
          <w:szCs w:val="20"/>
          <w:lang w:eastAsia="en-US"/>
        </w:rPr>
        <w:t>A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>djudicatário</w:t>
      </w:r>
      <w:bookmarkEnd w:id="7"/>
    </w:p>
    <w:p w14:paraId="3C1C5CB9" w14:textId="77777777" w:rsidR="002E6E36" w:rsidRDefault="001E1563" w:rsidP="002D52BE">
      <w:pPr>
        <w:numPr>
          <w:ilvl w:val="0"/>
          <w:numId w:val="8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2E6E36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Sem prejuízo de outras obrigações previstas na legislação aplicável e no caderno de encargos, decorre para o adjudicatário a obrigação de recorrer a todos os meios necessários e adequados, nomeadamente humanos, materiais e outros, para providenciar a prestação pretendida pela entidade adjudicante, com as características e especificações previstas neste caderno de encargos e nos prazos previstos ou acordados entre as partes, tudo por forma a garantir o integral cumprimento e a qualidade da prestação objeto do procedimento. </w:t>
      </w:r>
    </w:p>
    <w:p w14:paraId="0F8487A0" w14:textId="70F32D43" w:rsidR="001E1563" w:rsidRPr="002E6E36" w:rsidRDefault="001E1563" w:rsidP="002E6E36">
      <w:pPr>
        <w:numPr>
          <w:ilvl w:val="0"/>
          <w:numId w:val="8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2E6E36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O adjudicatário está obrigado a assegurar, no mínimo, a garantia dos serviços legalmente prevista.</w:t>
      </w:r>
    </w:p>
    <w:p w14:paraId="6A53BFCB" w14:textId="77777777" w:rsidR="001E1563" w:rsidRPr="00E97B80" w:rsidRDefault="001E1563" w:rsidP="00A459A5">
      <w:pPr>
        <w:jc w:val="both"/>
        <w:rPr>
          <w:rFonts w:ascii="HurmeGeometricSans4 Regular" w:eastAsia="Calibri" w:hAnsi="HurmeGeometricSans4 Regular"/>
          <w:sz w:val="20"/>
          <w:szCs w:val="20"/>
          <w:lang w:eastAsia="en-US"/>
        </w:rPr>
      </w:pPr>
    </w:p>
    <w:p w14:paraId="29F1B134" w14:textId="53F80B86" w:rsidR="001E1563" w:rsidRPr="00E97B80" w:rsidRDefault="001E1563" w:rsidP="009A3533">
      <w:pPr>
        <w:keepNext/>
        <w:keepLines/>
        <w:jc w:val="center"/>
        <w:outlineLvl w:val="1"/>
        <w:rPr>
          <w:rFonts w:ascii="HurmeGeometricSans4 Regular" w:hAnsi="HurmeGeometricSans4 Regular"/>
          <w:b/>
          <w:sz w:val="20"/>
          <w:szCs w:val="20"/>
          <w:lang w:eastAsia="en-US"/>
        </w:rPr>
      </w:pPr>
      <w:bookmarkStart w:id="8" w:name="_Toc45812364"/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lastRenderedPageBreak/>
        <w:t xml:space="preserve">Cláusula 5.ª – Dever de </w:t>
      </w:r>
      <w:r w:rsidR="00FB7FA9">
        <w:rPr>
          <w:rFonts w:ascii="HurmeGeometricSans4 Regular" w:hAnsi="HurmeGeometricSans4 Regular"/>
          <w:b/>
          <w:sz w:val="20"/>
          <w:szCs w:val="20"/>
          <w:lang w:eastAsia="en-US"/>
        </w:rPr>
        <w:t>S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>igilo</w:t>
      </w:r>
      <w:r w:rsidR="00FB7FA9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 e C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>onfidencialidade</w:t>
      </w:r>
      <w:bookmarkEnd w:id="8"/>
    </w:p>
    <w:p w14:paraId="3827E54B" w14:textId="77777777" w:rsidR="001E1563" w:rsidRPr="00E97B80" w:rsidRDefault="001E1563" w:rsidP="00FB7FA9">
      <w:pPr>
        <w:numPr>
          <w:ilvl w:val="0"/>
          <w:numId w:val="9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O adjudicatário está vinculado ao dever de sigilo, termos em que garante o seu sigilo e o do pessoal a seu cargo relativamente a informações ou documentação, técnica, financeira ou outra, relativa ao Quadrilátero Urbano e aos municípios que o compõem, de que venha a ter conhecimento em função do contrato, dever este que perdura além do prazo</w:t>
      </w:r>
      <w:r w:rsidRPr="00E97B80">
        <w:rPr>
          <w:rFonts w:ascii="HurmeGeometricSans4 Regular" w:eastAsia="Calibri" w:hAnsi="HurmeGeometricSans4 Regular"/>
          <w:color w:val="000000"/>
          <w:sz w:val="20"/>
          <w:szCs w:val="20"/>
          <w:lang w:eastAsia="en-US"/>
        </w:rPr>
        <w:t xml:space="preserve"> </w:t>
      </w: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estipulado para a presente prestação. </w:t>
      </w:r>
    </w:p>
    <w:p w14:paraId="6D943A12" w14:textId="77777777" w:rsidR="001E1563" w:rsidRPr="00E97B80" w:rsidRDefault="001E1563" w:rsidP="00FB7FA9">
      <w:pPr>
        <w:numPr>
          <w:ilvl w:val="0"/>
          <w:numId w:val="9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O adjudicatário fica, expressamente, vinculado ao dever de confidencialidade e não utilização de quaisquer dados pessoais a que tenha acesso, salvo para efeitos da estrita execução do contrato, nos termos do disposto no Regulamento (UE) 2016/679 do Parlamento Europeu e do Concelho de 27 de abril de 2016 e demais legislação complementar, dever este que abrange a totalidade dos trabalhadores e outros colaboradores afetos ao adjudicatário. </w:t>
      </w:r>
    </w:p>
    <w:p w14:paraId="6A84BDD8" w14:textId="77777777" w:rsidR="001E1563" w:rsidRPr="00E97B80" w:rsidRDefault="001E1563" w:rsidP="00FB7FA9">
      <w:pPr>
        <w:numPr>
          <w:ilvl w:val="0"/>
          <w:numId w:val="9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A informação e documentação cobertas pelo dever de sigilo não podem ser transmitidas a terceiros, nem objeto de qualquer uso ou modo de aproveitamento que não o destinado direta e exclusivamente à execução do contrato.</w:t>
      </w:r>
    </w:p>
    <w:p w14:paraId="01740AAC" w14:textId="77777777" w:rsidR="001E1563" w:rsidRPr="00E97B80" w:rsidRDefault="001E1563" w:rsidP="00FB7FA9">
      <w:pPr>
        <w:numPr>
          <w:ilvl w:val="0"/>
          <w:numId w:val="9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Exclui-se do dever de sigilo a informação e a documentação que sejam comprovadamente do domínio público à data da respetiva obtenção pelo adjudicatário ou que este seja legalmente obrigado a revelar, por força da lei, de processo judicial ou a pedido de autoridades reguladoras ou outras entidades administrativas competentes. </w:t>
      </w:r>
    </w:p>
    <w:p w14:paraId="5BCA1DFB" w14:textId="77777777" w:rsidR="001E1563" w:rsidRPr="00E97B80" w:rsidRDefault="001E1563" w:rsidP="00A459A5">
      <w:pPr>
        <w:jc w:val="both"/>
        <w:rPr>
          <w:rFonts w:ascii="HurmeGeometricSans4 Regular" w:eastAsia="Calibri" w:hAnsi="HurmeGeometricSans4 Regular"/>
          <w:sz w:val="20"/>
          <w:szCs w:val="20"/>
          <w:lang w:eastAsia="en-US"/>
        </w:rPr>
      </w:pPr>
    </w:p>
    <w:p w14:paraId="73ED1A8C" w14:textId="3D4AD145" w:rsidR="001E1563" w:rsidRPr="00E97B80" w:rsidRDefault="001E1563" w:rsidP="009A3533">
      <w:pPr>
        <w:keepNext/>
        <w:keepLines/>
        <w:jc w:val="center"/>
        <w:outlineLvl w:val="1"/>
        <w:rPr>
          <w:rFonts w:ascii="HurmeGeometricSans4 Regular" w:hAnsi="HurmeGeometricSans4 Regular"/>
          <w:b/>
          <w:sz w:val="20"/>
          <w:szCs w:val="20"/>
          <w:lang w:eastAsia="en-US"/>
        </w:rPr>
      </w:pPr>
      <w:bookmarkStart w:id="9" w:name="_Toc45812365"/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Cláusula 6.ª – Gestor de </w:t>
      </w:r>
      <w:r w:rsidR="00D32225">
        <w:rPr>
          <w:rFonts w:ascii="HurmeGeometricSans4 Regular" w:hAnsi="HurmeGeometricSans4 Regular"/>
          <w:b/>
          <w:sz w:val="20"/>
          <w:szCs w:val="20"/>
          <w:lang w:eastAsia="en-US"/>
        </w:rPr>
        <w:t>C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>ontrato</w:t>
      </w:r>
      <w:bookmarkEnd w:id="9"/>
    </w:p>
    <w:p w14:paraId="6A205588" w14:textId="5B07ABEA" w:rsidR="001E1563" w:rsidRPr="00E97B80" w:rsidRDefault="001E1563" w:rsidP="00D32225">
      <w:pPr>
        <w:autoSpaceDE w:val="0"/>
        <w:autoSpaceDN w:val="0"/>
        <w:adjustRightInd w:val="0"/>
        <w:spacing w:before="120" w:line="312" w:lineRule="auto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Nos termos do art.º 290-A do CCP, é designado </w:t>
      </w:r>
      <w:r w:rsidR="00E551B7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Nuno </w:t>
      </w:r>
      <w:r w:rsidR="00D32225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Alexandre </w:t>
      </w:r>
      <w:r w:rsidR="00E551B7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Cunha</w:t>
      </w: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, da </w:t>
      </w:r>
      <w:r w:rsidR="00E551B7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Associação de Municípios de Fins Específicos Quadrilátero Urbano</w:t>
      </w: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, como gestor do contrato, com a função de acompanhar permanentemente a gestão do mesmo.</w:t>
      </w:r>
    </w:p>
    <w:p w14:paraId="757E392A" w14:textId="77777777" w:rsidR="001E1563" w:rsidRPr="00E97B80" w:rsidRDefault="001E1563" w:rsidP="00A459A5">
      <w:pPr>
        <w:autoSpaceDE w:val="0"/>
        <w:autoSpaceDN w:val="0"/>
        <w:adjustRightInd w:val="0"/>
        <w:jc w:val="both"/>
        <w:rPr>
          <w:rFonts w:ascii="HurmeGeometricSans4 Regular" w:eastAsia="Calibri" w:hAnsi="HurmeGeometricSans4 Regular"/>
          <w:sz w:val="20"/>
          <w:szCs w:val="20"/>
          <w:lang w:eastAsia="en-US"/>
        </w:rPr>
      </w:pPr>
    </w:p>
    <w:p w14:paraId="0663FCA5" w14:textId="77777777" w:rsidR="001E1563" w:rsidRPr="00E97B80" w:rsidRDefault="001E1563" w:rsidP="00B832A3">
      <w:pPr>
        <w:keepNext/>
        <w:keepLines/>
        <w:jc w:val="center"/>
        <w:outlineLvl w:val="1"/>
        <w:rPr>
          <w:rFonts w:ascii="HurmeGeometricSans4 Regular" w:hAnsi="HurmeGeometricSans4 Regular"/>
          <w:b/>
          <w:sz w:val="20"/>
          <w:szCs w:val="20"/>
          <w:lang w:eastAsia="en-US"/>
        </w:rPr>
      </w:pPr>
      <w:bookmarkStart w:id="10" w:name="_Toc45812366"/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>Cláusula 7.ª – Seguros</w:t>
      </w:r>
      <w:bookmarkEnd w:id="10"/>
    </w:p>
    <w:p w14:paraId="44DFE722" w14:textId="77777777" w:rsidR="001E1563" w:rsidRPr="00E97B80" w:rsidRDefault="001E1563" w:rsidP="00970E25">
      <w:pPr>
        <w:numPr>
          <w:ilvl w:val="0"/>
          <w:numId w:val="10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É da responsabilidade do adjudicatário a cobertura, através de contrato(s) de seguro dos riscos diretamente </w:t>
      </w:r>
      <w:r w:rsidRPr="00E97B80">
        <w:rPr>
          <w:rFonts w:ascii="HurmeGeometricSans4 Regular" w:eastAsia="Calibri" w:hAnsi="HurmeGeometricSans4 Regular"/>
          <w:sz w:val="20"/>
          <w:szCs w:val="20"/>
          <w:lang w:eastAsia="en-US"/>
        </w:rPr>
        <w:t xml:space="preserve"> </w:t>
      </w: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associados à prestação objeto do contrato, nomeadamente no que respeita aos recursos humanos e</w:t>
      </w:r>
      <w:r w:rsidRPr="00E97B80">
        <w:rPr>
          <w:rFonts w:ascii="HurmeGeometricSans4 Regular" w:eastAsia="Calibri" w:hAnsi="HurmeGeometricSans4 Regular"/>
          <w:sz w:val="20"/>
          <w:szCs w:val="20"/>
          <w:lang w:eastAsia="en-US"/>
        </w:rPr>
        <w:t xml:space="preserve"> </w:t>
      </w: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equipamentos associados à mesma e à responsabilidade civil, com vista a assegurar a cobertura de danos</w:t>
      </w:r>
      <w:r w:rsidRPr="00E97B80">
        <w:rPr>
          <w:rFonts w:ascii="HurmeGeometricSans4 Regular" w:eastAsia="Calibri" w:hAnsi="HurmeGeometricSans4 Regular"/>
          <w:sz w:val="20"/>
          <w:szCs w:val="20"/>
          <w:lang w:eastAsia="en-US"/>
        </w:rPr>
        <w:t xml:space="preserve"> </w:t>
      </w: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patrimoniais e não patrimoniais emergentes da mesma, podendo a entidade adjudicante, se entender</w:t>
      </w:r>
      <w:r w:rsidRPr="00E97B80">
        <w:rPr>
          <w:rFonts w:ascii="HurmeGeometricSans4 Regular" w:eastAsia="Calibri" w:hAnsi="HurmeGeometricSans4 Regular"/>
          <w:sz w:val="20"/>
          <w:szCs w:val="20"/>
          <w:lang w:eastAsia="en-US"/>
        </w:rPr>
        <w:t xml:space="preserve"> </w:t>
      </w: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conveniente, exigir prova da sua celebração, e o adjudicatário fornecê-la no prazo de 5 dias úteis.</w:t>
      </w:r>
    </w:p>
    <w:p w14:paraId="5CB2EF19" w14:textId="77777777" w:rsidR="001E1563" w:rsidRPr="00E97B80" w:rsidRDefault="001E1563" w:rsidP="00970E25">
      <w:pPr>
        <w:numPr>
          <w:ilvl w:val="0"/>
          <w:numId w:val="10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Constitui ainda sua obrigação a manutenção das apólices em vigor, nomeadamente através do pagamento atempado dos respetivos prémios. </w:t>
      </w:r>
    </w:p>
    <w:p w14:paraId="578B7390" w14:textId="77777777" w:rsidR="001E1563" w:rsidRPr="00E97B80" w:rsidRDefault="001E1563" w:rsidP="00A459A5">
      <w:pPr>
        <w:autoSpaceDE w:val="0"/>
        <w:autoSpaceDN w:val="0"/>
        <w:adjustRightInd w:val="0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</w:p>
    <w:p w14:paraId="1BDD4138" w14:textId="57B9746B" w:rsidR="001E1563" w:rsidRPr="00E97B80" w:rsidRDefault="001E1563" w:rsidP="00B832A3">
      <w:pPr>
        <w:keepNext/>
        <w:keepLines/>
        <w:jc w:val="center"/>
        <w:outlineLvl w:val="1"/>
        <w:rPr>
          <w:rFonts w:ascii="HurmeGeometricSans4 Regular" w:hAnsi="HurmeGeometricSans4 Regular"/>
          <w:b/>
          <w:sz w:val="20"/>
          <w:szCs w:val="20"/>
          <w:lang w:eastAsia="en-US"/>
        </w:rPr>
      </w:pPr>
      <w:bookmarkStart w:id="11" w:name="_Toc45812367"/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Cláusula 8.ª – Preço </w:t>
      </w:r>
      <w:r w:rsidR="00B653AB">
        <w:rPr>
          <w:rFonts w:ascii="HurmeGeometricSans4 Regular" w:hAnsi="HurmeGeometricSans4 Regular"/>
          <w:b/>
          <w:sz w:val="20"/>
          <w:szCs w:val="20"/>
          <w:lang w:eastAsia="en-US"/>
        </w:rPr>
        <w:t>C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>ontratual</w:t>
      </w:r>
      <w:bookmarkEnd w:id="11"/>
    </w:p>
    <w:p w14:paraId="121BB605" w14:textId="77777777" w:rsidR="001E1563" w:rsidRPr="00E97B80" w:rsidRDefault="001E1563" w:rsidP="00B653AB">
      <w:pPr>
        <w:numPr>
          <w:ilvl w:val="0"/>
          <w:numId w:val="11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Pela prestação objeto do procedimento, bem como pelo cumprimento das demais obrigações constantes do presente caderno de encargos, a Associação Quadrilátero Urbano deve pagar ao adjudicatário, o preço total da prestação conforme preço contratual, acrescido de IVA à taxa legal em vigor, se este for legalmente devido.</w:t>
      </w:r>
    </w:p>
    <w:p w14:paraId="4C22ABE4" w14:textId="77777777" w:rsidR="001E1563" w:rsidRPr="00E97B80" w:rsidRDefault="001E1563" w:rsidP="00B653AB">
      <w:pPr>
        <w:numPr>
          <w:ilvl w:val="0"/>
          <w:numId w:val="11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O preço referido no número anterior inclui todos os custos, encargos e despesas inerentes à prestação pretendida, cuja responsabilidade não esteja expressamente atribuída ao contraente público, incluindo as decorrentes da eventual utilização de marcas registadas, patentes ou licenças. </w:t>
      </w:r>
    </w:p>
    <w:p w14:paraId="6BD6D6F2" w14:textId="7296CA80" w:rsidR="001E1563" w:rsidRPr="00E97B80" w:rsidRDefault="001E1563" w:rsidP="00B832A3">
      <w:pPr>
        <w:keepNext/>
        <w:keepLines/>
        <w:jc w:val="center"/>
        <w:outlineLvl w:val="1"/>
        <w:rPr>
          <w:rFonts w:ascii="HurmeGeometricSans4 Regular" w:hAnsi="HurmeGeometricSans4 Regular"/>
          <w:b/>
          <w:sz w:val="20"/>
          <w:szCs w:val="20"/>
          <w:lang w:eastAsia="en-US"/>
        </w:rPr>
      </w:pPr>
      <w:bookmarkStart w:id="12" w:name="_Toc45812368"/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lastRenderedPageBreak/>
        <w:t xml:space="preserve">Cláusula 9.ª – Revisão de </w:t>
      </w:r>
      <w:r w:rsidR="00B653AB">
        <w:rPr>
          <w:rFonts w:ascii="HurmeGeometricSans4 Regular" w:hAnsi="HurmeGeometricSans4 Regular"/>
          <w:b/>
          <w:sz w:val="20"/>
          <w:szCs w:val="20"/>
          <w:lang w:eastAsia="en-US"/>
        </w:rPr>
        <w:t>P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reços e </w:t>
      </w:r>
      <w:r w:rsidR="00B653AB">
        <w:rPr>
          <w:rFonts w:ascii="HurmeGeometricSans4 Regular" w:hAnsi="HurmeGeometricSans4 Regular"/>
          <w:b/>
          <w:sz w:val="20"/>
          <w:szCs w:val="20"/>
          <w:lang w:eastAsia="en-US"/>
        </w:rPr>
        <w:t>A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>diantamentos</w:t>
      </w:r>
      <w:bookmarkEnd w:id="12"/>
    </w:p>
    <w:p w14:paraId="2C00E20C" w14:textId="77777777" w:rsidR="001E1563" w:rsidRPr="00E97B80" w:rsidRDefault="001E1563" w:rsidP="00B653AB">
      <w:pPr>
        <w:numPr>
          <w:ilvl w:val="0"/>
          <w:numId w:val="12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Sem prejuízo do disposto nos art.ºs 282, 341 e 382 do CCP, a revisão de preços não será admitida ao longo da execução do contrato.</w:t>
      </w:r>
    </w:p>
    <w:p w14:paraId="38ECC1FF" w14:textId="77777777" w:rsidR="001E1563" w:rsidRPr="00E97B80" w:rsidRDefault="001E1563" w:rsidP="00B653AB">
      <w:pPr>
        <w:numPr>
          <w:ilvl w:val="0"/>
          <w:numId w:val="12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Embora previsto no art.º 292 do CCP, o pagamento de adiantamentos de preços não tem lugar enquanto permanecer em vigor o disposto no art.º 9 conjugado com o art.º 13 da Lei n.º 8/2012, de 21 de fev., na redação atual, e respetiva regulamentação aprovada pelo Decreto-Lei n.º 127/2012, de 21 de jun., que aprovou a Lei dos Compromissos e dos Pagamentos em Atraso (LCPA). </w:t>
      </w:r>
    </w:p>
    <w:p w14:paraId="6DDB3318" w14:textId="77777777" w:rsidR="001E1563" w:rsidRPr="00E97B80" w:rsidRDefault="001E1563" w:rsidP="00A459A5">
      <w:pPr>
        <w:autoSpaceDE w:val="0"/>
        <w:autoSpaceDN w:val="0"/>
        <w:adjustRightInd w:val="0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</w:p>
    <w:p w14:paraId="0D44094C" w14:textId="6557ADB5" w:rsidR="001E1563" w:rsidRPr="00E97B80" w:rsidRDefault="001E1563" w:rsidP="00B832A3">
      <w:pPr>
        <w:keepNext/>
        <w:keepLines/>
        <w:jc w:val="center"/>
        <w:outlineLvl w:val="1"/>
        <w:rPr>
          <w:rFonts w:ascii="HurmeGeometricSans4 Regular" w:hAnsi="HurmeGeometricSans4 Regular"/>
          <w:b/>
          <w:sz w:val="20"/>
          <w:szCs w:val="20"/>
          <w:lang w:eastAsia="en-US"/>
        </w:rPr>
      </w:pPr>
      <w:bookmarkStart w:id="13" w:name="_Toc45812369"/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Cláusula 10.ª – Condições de </w:t>
      </w:r>
      <w:r w:rsidR="00472F59">
        <w:rPr>
          <w:rFonts w:ascii="HurmeGeometricSans4 Regular" w:hAnsi="HurmeGeometricSans4 Regular"/>
          <w:b/>
          <w:sz w:val="20"/>
          <w:szCs w:val="20"/>
          <w:lang w:eastAsia="en-US"/>
        </w:rPr>
        <w:t>P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>agamento</w:t>
      </w:r>
      <w:bookmarkEnd w:id="13"/>
    </w:p>
    <w:p w14:paraId="0625598B" w14:textId="6BFE6638" w:rsidR="001E1563" w:rsidRPr="00E97B80" w:rsidRDefault="001E1563" w:rsidP="00B36320">
      <w:pPr>
        <w:numPr>
          <w:ilvl w:val="0"/>
          <w:numId w:val="13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A quantia devida pela Associação Quadrilátero Urbano, nos termos da cláusula anterior, é paga em conformidade com o disposto nos art.º 299 a 299-B do CCP, após a emissão da/s respetiva/s fatura/s pelo adjudicatário</w:t>
      </w:r>
      <w:r w:rsidR="00E551B7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,</w:t>
      </w: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após o vencimento da obrigação a que se refere/m.</w:t>
      </w:r>
    </w:p>
    <w:p w14:paraId="61E8CE0F" w14:textId="19A451A8" w:rsidR="001E1563" w:rsidRPr="00E97B80" w:rsidRDefault="001E1563" w:rsidP="00B36320">
      <w:pPr>
        <w:numPr>
          <w:ilvl w:val="0"/>
          <w:numId w:val="13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Para efeitos do número anterior considera-se vencida a obrigação com a prestação efetiva dos serviços a que se refere o procedimento.</w:t>
      </w:r>
    </w:p>
    <w:p w14:paraId="3B3607DE" w14:textId="54208927" w:rsidR="00A459A5" w:rsidRPr="00E97B80" w:rsidRDefault="001E1563" w:rsidP="00B36320">
      <w:pPr>
        <w:numPr>
          <w:ilvl w:val="0"/>
          <w:numId w:val="13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Admitir-se-á pagamento faseado de acordo com os serviços apresentados, após a confirmação da fatura por responsável do serviço, da seguinte forma, salvo se </w:t>
      </w:r>
      <w:r w:rsidR="00B3632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um </w:t>
      </w: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regime mais vantajoso para o Quadrilátero </w:t>
      </w:r>
      <w:r w:rsidR="00B820C3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Urbano </w:t>
      </w: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for estabelecido na proposta a adjudicar: </w:t>
      </w:r>
    </w:p>
    <w:p w14:paraId="0A05A746" w14:textId="575D3B05" w:rsidR="008E4D19" w:rsidRPr="008E4D19" w:rsidRDefault="008E4D19" w:rsidP="008E4D19">
      <w:pPr>
        <w:pStyle w:val="PargrafodaLista"/>
        <w:numPr>
          <w:ilvl w:val="0"/>
          <w:numId w:val="26"/>
        </w:numPr>
        <w:autoSpaceDE w:val="0"/>
        <w:autoSpaceDN w:val="0"/>
        <w:adjustRightInd w:val="0"/>
        <w:spacing w:before="60"/>
        <w:contextualSpacing w:val="0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>
        <w:rPr>
          <w:rFonts w:ascii="HurmeGeometricSans4 Regular" w:eastAsia="Calibri" w:hAnsi="HurmeGeometricSans4 Regular" w:cs="Calibri Light"/>
          <w:sz w:val="20"/>
          <w:szCs w:val="20"/>
          <w:lang w:eastAsia="en-US"/>
        </w:rPr>
        <w:t>15</w:t>
      </w:r>
      <w:r w:rsidRPr="008E4D19">
        <w:rPr>
          <w:rFonts w:ascii="HurmeGeometricSans4 Regular" w:eastAsia="Calibri" w:hAnsi="HurmeGeometricSans4 Regular" w:cs="Calibri Light"/>
          <w:sz w:val="20"/>
          <w:szCs w:val="20"/>
          <w:lang w:eastAsia="en-US"/>
        </w:rPr>
        <w:t xml:space="preserve">%, 45 dias </w:t>
      </w:r>
      <w:r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após assinatura do contrato com a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entrega de um Memorando de Progresso, contendo a abordagem metodológica contratualizada, reporte das reuniões iniciais e ponto de situação sobre a execução da operação MAP;</w:t>
      </w:r>
    </w:p>
    <w:p w14:paraId="15EECF18" w14:textId="37A58F93" w:rsidR="008E4D19" w:rsidRPr="008E4D19" w:rsidRDefault="008E4D19" w:rsidP="008E4D19">
      <w:pPr>
        <w:pStyle w:val="PargrafodaLista"/>
        <w:numPr>
          <w:ilvl w:val="0"/>
          <w:numId w:val="26"/>
        </w:numPr>
        <w:autoSpaceDE w:val="0"/>
        <w:autoSpaceDN w:val="0"/>
        <w:adjustRightInd w:val="0"/>
        <w:spacing w:before="80"/>
        <w:contextualSpacing w:val="0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20% em f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evereiro de 2021</w:t>
      </w:r>
      <w:r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com a 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entrega do Relatório de Monitorização Anual 2020 (com reporte de informação à data de 31 de dezembro de 2020</w:t>
      </w:r>
      <w:r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)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;</w:t>
      </w:r>
    </w:p>
    <w:p w14:paraId="058B9B12" w14:textId="6581BAB1" w:rsidR="008E4D19" w:rsidRPr="008E4D19" w:rsidRDefault="008E4D19" w:rsidP="008E4D19">
      <w:pPr>
        <w:pStyle w:val="PargrafodaLista"/>
        <w:numPr>
          <w:ilvl w:val="0"/>
          <w:numId w:val="26"/>
        </w:numPr>
        <w:autoSpaceDE w:val="0"/>
        <w:autoSpaceDN w:val="0"/>
        <w:adjustRightInd w:val="0"/>
        <w:spacing w:before="80"/>
        <w:contextualSpacing w:val="0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20% em f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evereiro de 2022</w:t>
      </w:r>
      <w:r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com a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entrega do Relatório de Monitorização Anual 2021 (com reporte de informação à data de 31 de dezembro de 2021</w:t>
      </w:r>
      <w:r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)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;</w:t>
      </w:r>
    </w:p>
    <w:p w14:paraId="57C8C2BA" w14:textId="0342E05A" w:rsidR="008E4D19" w:rsidRPr="008E4D19" w:rsidRDefault="008E4D19" w:rsidP="008E4D19">
      <w:pPr>
        <w:pStyle w:val="PargrafodaLista"/>
        <w:numPr>
          <w:ilvl w:val="0"/>
          <w:numId w:val="26"/>
        </w:numPr>
        <w:autoSpaceDE w:val="0"/>
        <w:autoSpaceDN w:val="0"/>
        <w:adjustRightInd w:val="0"/>
        <w:spacing w:before="80"/>
        <w:contextualSpacing w:val="0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20% em f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evereiro</w:t>
      </w:r>
      <w:r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de 2023 com a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entrega do Relatório de Monitorização Anual 2022 (com reporte de informação à data de 31 de dezembro de 2022);</w:t>
      </w:r>
    </w:p>
    <w:p w14:paraId="4EC3885D" w14:textId="43D3D81F" w:rsidR="008E4D19" w:rsidRPr="008E4D19" w:rsidRDefault="008E4D19" w:rsidP="008E4D19">
      <w:pPr>
        <w:pStyle w:val="PargrafodaLista"/>
        <w:numPr>
          <w:ilvl w:val="0"/>
          <w:numId w:val="26"/>
        </w:numPr>
        <w:autoSpaceDE w:val="0"/>
        <w:autoSpaceDN w:val="0"/>
        <w:adjustRightInd w:val="0"/>
        <w:spacing w:before="80"/>
        <w:contextualSpacing w:val="0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25% no ú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lt</w:t>
      </w:r>
      <w:r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imo mês de vigência do contrato e com a 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entrega do Relatório Final de Avaliação da Implementação do MAP no Território do Quadrilátero, enquanto instrumento de encerramento físico e financeiro das operações.</w:t>
      </w:r>
    </w:p>
    <w:p w14:paraId="7B568DD2" w14:textId="4FDD4F4E" w:rsidR="001E1563" w:rsidRPr="00E97B80" w:rsidRDefault="001E1563" w:rsidP="0027423F">
      <w:pPr>
        <w:numPr>
          <w:ilvl w:val="0"/>
          <w:numId w:val="13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O pagamento será efetuado após a confirmação da fatura.</w:t>
      </w:r>
    </w:p>
    <w:p w14:paraId="428BB922" w14:textId="14016D36" w:rsidR="001E1563" w:rsidRPr="00E97B80" w:rsidRDefault="001E1563" w:rsidP="0027423F">
      <w:pPr>
        <w:numPr>
          <w:ilvl w:val="0"/>
          <w:numId w:val="13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O adjudicatário deve discriminar, em cada fatura, os elementos constantes do n.º 1 do art.º 299-B do CCP, sempre que aplicáveis, nomeadamente a identificação do processo, do período de faturação e os serviços a que se refere.</w:t>
      </w:r>
    </w:p>
    <w:p w14:paraId="054A3355" w14:textId="77777777" w:rsidR="001E1563" w:rsidRPr="00E97B80" w:rsidRDefault="001E1563" w:rsidP="00A459A5">
      <w:pPr>
        <w:autoSpaceDE w:val="0"/>
        <w:autoSpaceDN w:val="0"/>
        <w:adjustRightInd w:val="0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</w:p>
    <w:p w14:paraId="0A9FFF87" w14:textId="33B4A53E" w:rsidR="001E1563" w:rsidRPr="00E97B80" w:rsidRDefault="001E1563" w:rsidP="00B832A3">
      <w:pPr>
        <w:keepNext/>
        <w:keepLines/>
        <w:jc w:val="center"/>
        <w:outlineLvl w:val="1"/>
        <w:rPr>
          <w:rFonts w:ascii="HurmeGeometricSans4 Regular" w:hAnsi="HurmeGeometricSans4 Regular"/>
          <w:b/>
          <w:sz w:val="20"/>
          <w:szCs w:val="20"/>
          <w:lang w:eastAsia="en-US"/>
        </w:rPr>
      </w:pPr>
      <w:bookmarkStart w:id="14" w:name="_Toc45812370"/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Cláusula 11.ª – Direitos e </w:t>
      </w:r>
      <w:r w:rsidR="0088282C">
        <w:rPr>
          <w:rFonts w:ascii="HurmeGeometricSans4 Regular" w:hAnsi="HurmeGeometricSans4 Regular"/>
          <w:b/>
          <w:sz w:val="20"/>
          <w:szCs w:val="20"/>
          <w:lang w:eastAsia="en-US"/>
        </w:rPr>
        <w:t>O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brigações da </w:t>
      </w:r>
      <w:r w:rsidR="0088282C">
        <w:rPr>
          <w:rFonts w:ascii="HurmeGeometricSans4 Regular" w:hAnsi="HurmeGeometricSans4 Regular"/>
          <w:b/>
          <w:sz w:val="20"/>
          <w:szCs w:val="20"/>
          <w:lang w:eastAsia="en-US"/>
        </w:rPr>
        <w:t>E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ntidade </w:t>
      </w:r>
      <w:r w:rsidR="0088282C">
        <w:rPr>
          <w:rFonts w:ascii="HurmeGeometricSans4 Regular" w:hAnsi="HurmeGeometricSans4 Regular"/>
          <w:b/>
          <w:sz w:val="20"/>
          <w:szCs w:val="20"/>
          <w:lang w:eastAsia="en-US"/>
        </w:rPr>
        <w:t>A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>djudicante</w:t>
      </w:r>
      <w:bookmarkEnd w:id="14"/>
    </w:p>
    <w:p w14:paraId="371A81A3" w14:textId="77777777" w:rsidR="001E1563" w:rsidRPr="00E97B80" w:rsidRDefault="001E1563" w:rsidP="0088282C">
      <w:pPr>
        <w:numPr>
          <w:ilvl w:val="0"/>
          <w:numId w:val="15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O pagamento do preço, nos termos previstos na cláusula anterior, é uma obrigação da entidade adjudicante, de acordo com os preços unitários correspondentes, nos termos da proposta adjudicada.  </w:t>
      </w:r>
    </w:p>
    <w:p w14:paraId="0EEC0869" w14:textId="77777777" w:rsidR="001E1563" w:rsidRPr="00E97B80" w:rsidRDefault="001E1563" w:rsidP="0088282C">
      <w:pPr>
        <w:numPr>
          <w:ilvl w:val="0"/>
          <w:numId w:val="15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Caso se verifique incumprimento ou cumprimento defeituoso do contrato por parte do adjudicatário será notificado do facto o próprio ou seu representante. </w:t>
      </w:r>
    </w:p>
    <w:p w14:paraId="100B4E7B" w14:textId="77777777" w:rsidR="001E1563" w:rsidRPr="00E97B80" w:rsidRDefault="001E1563" w:rsidP="0088282C">
      <w:pPr>
        <w:numPr>
          <w:ilvl w:val="0"/>
          <w:numId w:val="15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lastRenderedPageBreak/>
        <w:t xml:space="preserve">Sem prejuízo do disposto nos números anteriores, o adjudicante reserva-se o direito de exigir do adjudicatário alterações, no todo ou em parte, daquilo que for prestado indevidamente e não esteja de acordo com as cláusulas contratuais. </w:t>
      </w:r>
    </w:p>
    <w:p w14:paraId="1CCE9037" w14:textId="77777777" w:rsidR="001E1563" w:rsidRPr="00E97B80" w:rsidRDefault="001E1563" w:rsidP="0088282C">
      <w:pPr>
        <w:numPr>
          <w:ilvl w:val="0"/>
          <w:numId w:val="15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É direito da entidade adjudicante comunicar ao representante do adjudicatário toda a anomalia verificada na prestação objeto do procedimento.</w:t>
      </w:r>
    </w:p>
    <w:p w14:paraId="3B7F450E" w14:textId="77777777" w:rsidR="001E1563" w:rsidRPr="00E97B80" w:rsidRDefault="001E1563" w:rsidP="00A459A5">
      <w:pPr>
        <w:autoSpaceDE w:val="0"/>
        <w:autoSpaceDN w:val="0"/>
        <w:adjustRightInd w:val="0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</w:p>
    <w:p w14:paraId="4C912D7D" w14:textId="62959AC8" w:rsidR="001E1563" w:rsidRPr="003C4173" w:rsidRDefault="001E1563" w:rsidP="003C4173">
      <w:pPr>
        <w:keepNext/>
        <w:keepLines/>
        <w:spacing w:line="312" w:lineRule="auto"/>
        <w:jc w:val="center"/>
        <w:outlineLvl w:val="0"/>
        <w:rPr>
          <w:rFonts w:ascii="HurmeGeometricSans4 Regular" w:hAnsi="HurmeGeometricSans4 Regular"/>
          <w:b/>
          <w:smallCaps/>
          <w:szCs w:val="20"/>
          <w:lang w:eastAsia="en-US"/>
        </w:rPr>
      </w:pPr>
      <w:bookmarkStart w:id="15" w:name="_Toc45812371"/>
      <w:r w:rsidRPr="003C4173">
        <w:rPr>
          <w:rFonts w:ascii="HurmeGeometricSans4 Regular" w:hAnsi="HurmeGeometricSans4 Regular"/>
          <w:b/>
          <w:smallCaps/>
          <w:szCs w:val="20"/>
          <w:lang w:eastAsia="en-US"/>
        </w:rPr>
        <w:t>Capítulo III – Disposições Complementares</w:t>
      </w:r>
      <w:bookmarkEnd w:id="15"/>
    </w:p>
    <w:p w14:paraId="788AF49D" w14:textId="02EA2361" w:rsidR="001E1563" w:rsidRPr="00E97B80" w:rsidRDefault="001E1563" w:rsidP="00630660">
      <w:pPr>
        <w:keepNext/>
        <w:keepLines/>
        <w:spacing w:before="120"/>
        <w:jc w:val="center"/>
        <w:outlineLvl w:val="1"/>
        <w:rPr>
          <w:rFonts w:ascii="HurmeGeometricSans4 Regular" w:hAnsi="HurmeGeometricSans4 Regular"/>
          <w:b/>
          <w:sz w:val="20"/>
          <w:szCs w:val="20"/>
          <w:lang w:eastAsia="en-US"/>
        </w:rPr>
      </w:pPr>
      <w:bookmarkStart w:id="16" w:name="_Toc45812372"/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Cláusula 12.ª – Penalidades </w:t>
      </w:r>
      <w:r w:rsidR="003519DD">
        <w:rPr>
          <w:rFonts w:ascii="HurmeGeometricSans4 Regular" w:hAnsi="HurmeGeometricSans4 Regular"/>
          <w:b/>
          <w:sz w:val="20"/>
          <w:szCs w:val="20"/>
          <w:lang w:eastAsia="en-US"/>
        </w:rPr>
        <w:t>C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>ontratuais</w:t>
      </w:r>
      <w:bookmarkEnd w:id="16"/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 </w:t>
      </w:r>
    </w:p>
    <w:p w14:paraId="05D733EF" w14:textId="77777777" w:rsidR="001E1563" w:rsidRPr="00E97B80" w:rsidRDefault="001E1563" w:rsidP="00630660">
      <w:pPr>
        <w:numPr>
          <w:ilvl w:val="0"/>
          <w:numId w:val="16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NimbusSanL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Pelo incumprimento de obrigações emergentes do procedimento, a Associação Quadrilátero Urbano pode, a título sancionatório, resolver o contrato e aplicar ao adjudicatário sanções de natureza pecuniária, cujo montante cumulado não pode exceder 20% do preço contratual, a fixar em função da gravidade do incumprimento.</w:t>
      </w:r>
    </w:p>
    <w:p w14:paraId="2BF005E8" w14:textId="556E92D9" w:rsidR="001E1563" w:rsidRPr="00E97B80" w:rsidRDefault="001E1563" w:rsidP="00630660">
      <w:pPr>
        <w:numPr>
          <w:ilvl w:val="0"/>
          <w:numId w:val="16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NimbusSanL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Na determinação da gravidade do incumprimento, a Associação Quadrilátero Urbano tem em conta, nomeadamente, a duração da infração, a sua eventual reiteração, o grau de culpa do adjudicatário e as consequências do incumprimento.</w:t>
      </w:r>
    </w:p>
    <w:p w14:paraId="321F63F5" w14:textId="04808F19" w:rsidR="001E1563" w:rsidRPr="00E97B80" w:rsidRDefault="001E1563" w:rsidP="00630660">
      <w:pPr>
        <w:numPr>
          <w:ilvl w:val="0"/>
          <w:numId w:val="16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NimbusSanL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Atingindo o limite das sanções pecuniárias, se o Quadrilátero </w:t>
      </w:r>
      <w:r w:rsidR="003519DD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Urbano </w:t>
      </w: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decidir não proceder à resolução do contrato, se daí resultar dano grave para o interesse público, poderá elevar para 30% o limite das penalidades. </w:t>
      </w:r>
    </w:p>
    <w:p w14:paraId="794A7D33" w14:textId="77777777" w:rsidR="001E1563" w:rsidRPr="00E97B80" w:rsidRDefault="001E1563" w:rsidP="00A459A5">
      <w:pPr>
        <w:autoSpaceDE w:val="0"/>
        <w:autoSpaceDN w:val="0"/>
        <w:adjustRightInd w:val="0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</w:p>
    <w:p w14:paraId="39B20D81" w14:textId="3F2081FF" w:rsidR="001E1563" w:rsidRPr="00E97B80" w:rsidRDefault="001E1563" w:rsidP="00060891">
      <w:pPr>
        <w:keepNext/>
        <w:keepLines/>
        <w:jc w:val="center"/>
        <w:outlineLvl w:val="1"/>
        <w:rPr>
          <w:rFonts w:ascii="HurmeGeometricSans4 Regular" w:hAnsi="HurmeGeometricSans4 Regular"/>
          <w:b/>
          <w:sz w:val="20"/>
          <w:szCs w:val="20"/>
          <w:lang w:eastAsia="en-US"/>
        </w:rPr>
      </w:pPr>
      <w:bookmarkStart w:id="17" w:name="_Toc45812373"/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Cláusula 13.ª – Retenção de </w:t>
      </w:r>
      <w:r w:rsidR="003519DD">
        <w:rPr>
          <w:rFonts w:ascii="HurmeGeometricSans4 Regular" w:hAnsi="HurmeGeometricSans4 Regular"/>
          <w:b/>
          <w:sz w:val="20"/>
          <w:szCs w:val="20"/>
          <w:lang w:eastAsia="en-US"/>
        </w:rPr>
        <w:t>P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>agamentos</w:t>
      </w:r>
      <w:bookmarkEnd w:id="17"/>
    </w:p>
    <w:p w14:paraId="7EBCF0FD" w14:textId="77777777" w:rsidR="001E1563" w:rsidRPr="00E97B80" w:rsidRDefault="001E1563" w:rsidP="00C86F79">
      <w:pPr>
        <w:autoSpaceDE w:val="0"/>
        <w:autoSpaceDN w:val="0"/>
        <w:adjustRightInd w:val="0"/>
        <w:spacing w:before="120" w:line="312" w:lineRule="auto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Sem prejuízo do referido na cláusula anterior e não sendo exigida a prestação de caução no presente procedimento, conforme dispõe o n.º 3 do art.º 88 do CCP, a entidade adjudicante, se considerar conveniente durante a execução do contrato, em caso de mora, cumprimento defeituoso ou incumprimento definitivo pelo fornecedor das obrigações contratuais ou legais, procederá, querendo, à retenção de até 10% do valor dos pagamentos a efetuar. </w:t>
      </w:r>
    </w:p>
    <w:p w14:paraId="31762607" w14:textId="12E35DCE" w:rsidR="001E1563" w:rsidRPr="00E97B80" w:rsidRDefault="001E1563" w:rsidP="00A459A5">
      <w:pPr>
        <w:autoSpaceDE w:val="0"/>
        <w:autoSpaceDN w:val="0"/>
        <w:adjustRightInd w:val="0"/>
        <w:jc w:val="both"/>
        <w:rPr>
          <w:rFonts w:ascii="HurmeGeometricSans4 Regular" w:eastAsia="Calibri" w:hAnsi="HurmeGeometricSans4 Regular"/>
          <w:sz w:val="20"/>
          <w:szCs w:val="20"/>
          <w:lang w:eastAsia="en-US"/>
        </w:rPr>
      </w:pPr>
    </w:p>
    <w:p w14:paraId="1C9DA7CC" w14:textId="61E1690A" w:rsidR="001E1563" w:rsidRPr="00E97B80" w:rsidRDefault="001E1563" w:rsidP="00060891">
      <w:pPr>
        <w:keepNext/>
        <w:keepLines/>
        <w:jc w:val="center"/>
        <w:outlineLvl w:val="1"/>
        <w:rPr>
          <w:rFonts w:ascii="HurmeGeometricSans4 Regular" w:hAnsi="HurmeGeometricSans4 Regular"/>
          <w:b/>
          <w:sz w:val="20"/>
          <w:szCs w:val="20"/>
          <w:lang w:eastAsia="en-US"/>
        </w:rPr>
      </w:pPr>
      <w:bookmarkStart w:id="18" w:name="_Toc45812374"/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Cláusula 14.ª – Força </w:t>
      </w:r>
      <w:r w:rsidR="004B632F">
        <w:rPr>
          <w:rFonts w:ascii="HurmeGeometricSans4 Regular" w:hAnsi="HurmeGeometricSans4 Regular"/>
          <w:b/>
          <w:sz w:val="20"/>
          <w:szCs w:val="20"/>
          <w:lang w:eastAsia="en-US"/>
        </w:rPr>
        <w:t>M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>aior</w:t>
      </w:r>
      <w:bookmarkEnd w:id="18"/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 </w:t>
      </w:r>
    </w:p>
    <w:p w14:paraId="673AFB00" w14:textId="77777777" w:rsidR="001E1563" w:rsidRPr="00E97B80" w:rsidRDefault="001E1563" w:rsidP="00C86F79">
      <w:pPr>
        <w:numPr>
          <w:ilvl w:val="0"/>
          <w:numId w:val="17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Não serão impostas penalidades ao adjudicatário, nem será tido como incumprimento, a não realização pontual das prestações contratuais a cargo de qualquer das partes que resulte de caso de força maior,</w:t>
      </w:r>
      <w:r w:rsidRPr="00E97B80">
        <w:rPr>
          <w:rFonts w:ascii="HurmeGeometricSans4 Regular" w:eastAsia="Calibri" w:hAnsi="HurmeGeometricSans4 Regular"/>
          <w:sz w:val="20"/>
          <w:szCs w:val="20"/>
          <w:lang w:eastAsia="en-US"/>
        </w:rPr>
        <w:t xml:space="preserve"> </w:t>
      </w: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entendendo-se como tal as circunstâncias que impossibilitem a respetiva realização, alheias à vontade da</w:t>
      </w:r>
      <w:r w:rsidRPr="00E97B80">
        <w:rPr>
          <w:rFonts w:ascii="HurmeGeometricSans4 Regular" w:eastAsia="Calibri" w:hAnsi="HurmeGeometricSans4 Regular"/>
          <w:sz w:val="20"/>
          <w:szCs w:val="20"/>
          <w:lang w:eastAsia="en-US"/>
        </w:rPr>
        <w:t xml:space="preserve"> </w:t>
      </w: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parte afetada, que não resultem de falta ou negligência, e que não possam ser conhecidas ou previstas à</w:t>
      </w:r>
      <w:r w:rsidRPr="00E97B80">
        <w:rPr>
          <w:rFonts w:ascii="HurmeGeometricSans4 Regular" w:eastAsia="Calibri" w:hAnsi="HurmeGeometricSans4 Regular"/>
          <w:sz w:val="20"/>
          <w:szCs w:val="20"/>
          <w:lang w:eastAsia="en-US"/>
        </w:rPr>
        <w:t xml:space="preserve"> </w:t>
      </w: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data da celebração do contrato e cujos efeitos não lhe fosse razoavelmente exigível contornar ou evitar. </w:t>
      </w:r>
    </w:p>
    <w:p w14:paraId="5CBC0A30" w14:textId="77777777" w:rsidR="001E1563" w:rsidRPr="00E97B80" w:rsidRDefault="001E1563" w:rsidP="00C86F79">
      <w:pPr>
        <w:numPr>
          <w:ilvl w:val="0"/>
          <w:numId w:val="17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A ocorrência de circunstâncias que possam consubstanciar casos de força maior deve ser imediatamente comunicada à outra parte. </w:t>
      </w:r>
    </w:p>
    <w:p w14:paraId="34DFAF73" w14:textId="53D33805" w:rsidR="001E1563" w:rsidRPr="00E97B80" w:rsidRDefault="001E1563" w:rsidP="00C86F79">
      <w:pPr>
        <w:numPr>
          <w:ilvl w:val="0"/>
          <w:numId w:val="17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A força maior determina a prorrogação dos prazos de cumprimento das obrigações contratuais afetadas pelo </w:t>
      </w:r>
      <w:r w:rsidR="00C86F79"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período</w:t>
      </w: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comprovadamente correspondente ao impedimento resultante da força maior.  </w:t>
      </w:r>
    </w:p>
    <w:p w14:paraId="045AAAB8" w14:textId="77777777" w:rsidR="001E1563" w:rsidRPr="00E97B80" w:rsidRDefault="001E1563" w:rsidP="00A459A5">
      <w:pPr>
        <w:autoSpaceDE w:val="0"/>
        <w:autoSpaceDN w:val="0"/>
        <w:adjustRightInd w:val="0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</w:p>
    <w:p w14:paraId="25540373" w14:textId="25140F34" w:rsidR="001E1563" w:rsidRPr="00E97B80" w:rsidRDefault="001E1563" w:rsidP="00C315F6">
      <w:pPr>
        <w:keepNext/>
        <w:keepLines/>
        <w:jc w:val="center"/>
        <w:outlineLvl w:val="1"/>
        <w:rPr>
          <w:rFonts w:ascii="HurmeGeometricSans4 Regular" w:hAnsi="HurmeGeometricSans4 Regular"/>
          <w:b/>
          <w:sz w:val="20"/>
          <w:szCs w:val="20"/>
          <w:lang w:eastAsia="en-US"/>
        </w:rPr>
      </w:pPr>
      <w:bookmarkStart w:id="19" w:name="_Toc45812375"/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Cláusula 15.ª – Resolução do </w:t>
      </w:r>
      <w:r w:rsidR="004B632F">
        <w:rPr>
          <w:rFonts w:ascii="HurmeGeometricSans4 Regular" w:hAnsi="HurmeGeometricSans4 Regular"/>
          <w:b/>
          <w:sz w:val="20"/>
          <w:szCs w:val="20"/>
          <w:lang w:eastAsia="en-US"/>
        </w:rPr>
        <w:t>C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>ontrato</w:t>
      </w:r>
      <w:bookmarkEnd w:id="19"/>
    </w:p>
    <w:p w14:paraId="23152BDF" w14:textId="77777777" w:rsidR="001E1563" w:rsidRPr="00E97B80" w:rsidRDefault="001E1563" w:rsidP="002213B6">
      <w:pPr>
        <w:numPr>
          <w:ilvl w:val="0"/>
          <w:numId w:val="18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Sem prejuízo de outros fundamentos de resolução previstos na lei, o incumprimento dos deveres resultantes do contrato confere à outra parte o direito de resolver o contrato, a título sancionatório. </w:t>
      </w:r>
    </w:p>
    <w:p w14:paraId="7E40BC5C" w14:textId="77777777" w:rsidR="001E1563" w:rsidRPr="00E97B80" w:rsidRDefault="001E1563" w:rsidP="002213B6">
      <w:pPr>
        <w:numPr>
          <w:ilvl w:val="0"/>
          <w:numId w:val="18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lastRenderedPageBreak/>
        <w:t xml:space="preserve">No caso de violação grave ou reiterada de qualquer das obrigações que incumbem ao adjudicatário, nomeadamente nos casos previstos no art.º 333 do CCP, a Associação Quadrilátero Urbano pode resolver o contrato, mediante o envio de documento escrito ao mesmo. </w:t>
      </w:r>
    </w:p>
    <w:p w14:paraId="14871806" w14:textId="77777777" w:rsidR="001E1563" w:rsidRPr="00E97B80" w:rsidRDefault="001E1563" w:rsidP="002213B6">
      <w:pPr>
        <w:numPr>
          <w:ilvl w:val="0"/>
          <w:numId w:val="18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Pode ainda o a Associação Quadrilátero Urbano resolver o contrato com fundamento em razões de interesse público, devidamente fundamentado, ou com fundamento na alteração anormal e imprevisível das circunstâncias, sem prejuízo do pagamento ao co-contratante de justa indemnização. </w:t>
      </w:r>
    </w:p>
    <w:p w14:paraId="1DB168BC" w14:textId="77777777" w:rsidR="001E1563" w:rsidRPr="00E97B80" w:rsidRDefault="001E1563" w:rsidP="002213B6">
      <w:pPr>
        <w:numPr>
          <w:ilvl w:val="0"/>
          <w:numId w:val="18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Cabe ao cocontratante resolver o contrato em caso de violação das obrigações assumidas pelo contraente público, nos termos previstos no art.º 332. </w:t>
      </w:r>
    </w:p>
    <w:p w14:paraId="3A0BC3DF" w14:textId="77777777" w:rsidR="001E1563" w:rsidRPr="00E97B80" w:rsidRDefault="001E1563" w:rsidP="004354A2">
      <w:pPr>
        <w:autoSpaceDE w:val="0"/>
        <w:autoSpaceDN w:val="0"/>
        <w:adjustRightInd w:val="0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</w:p>
    <w:p w14:paraId="7066181A" w14:textId="757DE7AB" w:rsidR="001E1563" w:rsidRPr="00E97B80" w:rsidRDefault="001E1563" w:rsidP="00602E5A">
      <w:pPr>
        <w:keepNext/>
        <w:keepLines/>
        <w:jc w:val="center"/>
        <w:outlineLvl w:val="1"/>
        <w:rPr>
          <w:rFonts w:ascii="HurmeGeometricSans4 Regular" w:hAnsi="HurmeGeometricSans4 Regular"/>
          <w:b/>
          <w:sz w:val="20"/>
          <w:szCs w:val="20"/>
          <w:lang w:eastAsia="en-US"/>
        </w:rPr>
      </w:pPr>
      <w:bookmarkStart w:id="20" w:name="_Toc45812376"/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Cláusula 16.ª – Foro </w:t>
      </w:r>
      <w:r w:rsidR="00757721">
        <w:rPr>
          <w:rFonts w:ascii="HurmeGeometricSans4 Regular" w:hAnsi="HurmeGeometricSans4 Regular"/>
          <w:b/>
          <w:sz w:val="20"/>
          <w:szCs w:val="20"/>
          <w:lang w:eastAsia="en-US"/>
        </w:rPr>
        <w:t>C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>ompetente</w:t>
      </w:r>
      <w:bookmarkEnd w:id="20"/>
    </w:p>
    <w:p w14:paraId="17B79256" w14:textId="77777777" w:rsidR="001E1563" w:rsidRPr="00E97B80" w:rsidRDefault="001E1563" w:rsidP="00757721">
      <w:pPr>
        <w:autoSpaceDE w:val="0"/>
        <w:autoSpaceDN w:val="0"/>
        <w:adjustRightInd w:val="0"/>
        <w:spacing w:before="120" w:line="312" w:lineRule="auto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Para resolução de todos os litígios decorrentes do contrato fica estipulada a competência do Tribunal Administrativo e Fiscal de Braga, com expressa renúncia a qualquer outro.</w:t>
      </w:r>
    </w:p>
    <w:p w14:paraId="7875AE80" w14:textId="77777777" w:rsidR="001E1563" w:rsidRPr="00E97B80" w:rsidRDefault="001E1563" w:rsidP="00A459A5">
      <w:pPr>
        <w:autoSpaceDE w:val="0"/>
        <w:autoSpaceDN w:val="0"/>
        <w:adjustRightInd w:val="0"/>
        <w:jc w:val="both"/>
        <w:rPr>
          <w:rFonts w:ascii="HurmeGeometricSans4 Regular" w:eastAsia="Calibri" w:hAnsi="HurmeGeometricSans4 Regular"/>
          <w:sz w:val="20"/>
          <w:szCs w:val="20"/>
          <w:lang w:eastAsia="en-US"/>
        </w:rPr>
      </w:pPr>
    </w:p>
    <w:p w14:paraId="55B46CB8" w14:textId="647F95CD" w:rsidR="001E1563" w:rsidRPr="00E97B80" w:rsidRDefault="001E1563" w:rsidP="00602E5A">
      <w:pPr>
        <w:keepNext/>
        <w:keepLines/>
        <w:jc w:val="center"/>
        <w:outlineLvl w:val="1"/>
        <w:rPr>
          <w:rFonts w:ascii="HurmeGeometricSans4 Regular" w:hAnsi="HurmeGeometricSans4 Regular"/>
          <w:b/>
          <w:sz w:val="20"/>
          <w:szCs w:val="20"/>
          <w:lang w:eastAsia="en-US"/>
        </w:rPr>
      </w:pPr>
      <w:bookmarkStart w:id="21" w:name="_Toc45812377"/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Cláusula 17.ª – Subcontratação e </w:t>
      </w:r>
      <w:r w:rsidR="00757721">
        <w:rPr>
          <w:rFonts w:ascii="HurmeGeometricSans4 Regular" w:hAnsi="HurmeGeometricSans4 Regular"/>
          <w:b/>
          <w:sz w:val="20"/>
          <w:szCs w:val="20"/>
          <w:lang w:eastAsia="en-US"/>
        </w:rPr>
        <w:t>C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essão da </w:t>
      </w:r>
      <w:r w:rsidR="00757721">
        <w:rPr>
          <w:rFonts w:ascii="HurmeGeometricSans4 Regular" w:hAnsi="HurmeGeometricSans4 Regular"/>
          <w:b/>
          <w:sz w:val="20"/>
          <w:szCs w:val="20"/>
          <w:lang w:eastAsia="en-US"/>
        </w:rPr>
        <w:t>P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osição </w:t>
      </w:r>
      <w:r w:rsidR="00757721">
        <w:rPr>
          <w:rFonts w:ascii="HurmeGeometricSans4 Regular" w:hAnsi="HurmeGeometricSans4 Regular"/>
          <w:b/>
          <w:sz w:val="20"/>
          <w:szCs w:val="20"/>
          <w:lang w:eastAsia="en-US"/>
        </w:rPr>
        <w:t>C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>ontratual</w:t>
      </w:r>
      <w:bookmarkEnd w:id="21"/>
    </w:p>
    <w:p w14:paraId="05BBB161" w14:textId="77777777" w:rsidR="001E1563" w:rsidRPr="00E97B80" w:rsidRDefault="001E1563" w:rsidP="00757721">
      <w:pPr>
        <w:autoSpaceDE w:val="0"/>
        <w:autoSpaceDN w:val="0"/>
        <w:adjustRightInd w:val="0"/>
        <w:spacing w:before="120" w:line="312" w:lineRule="auto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A subcontratação pelo adjudicatário e a cessão da posição contratual não é permitida salvo se, na fase de execução do contrato, for expressamente autorizada pela outra parte, nos termos do Código dos Contratos Públicos. </w:t>
      </w:r>
    </w:p>
    <w:p w14:paraId="0C90843F" w14:textId="77777777" w:rsidR="001E1563" w:rsidRPr="00E97B80" w:rsidRDefault="001E1563" w:rsidP="00A459A5">
      <w:pPr>
        <w:autoSpaceDE w:val="0"/>
        <w:autoSpaceDN w:val="0"/>
        <w:adjustRightInd w:val="0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</w:p>
    <w:p w14:paraId="1F2E2C98" w14:textId="1B0DE98C" w:rsidR="001E1563" w:rsidRPr="00E97B80" w:rsidRDefault="001E1563" w:rsidP="00602E5A">
      <w:pPr>
        <w:keepNext/>
        <w:keepLines/>
        <w:jc w:val="center"/>
        <w:outlineLvl w:val="1"/>
        <w:rPr>
          <w:rFonts w:ascii="HurmeGeometricSans4 Regular" w:hAnsi="HurmeGeometricSans4 Regular"/>
          <w:b/>
          <w:sz w:val="20"/>
          <w:szCs w:val="20"/>
          <w:lang w:eastAsia="en-US"/>
        </w:rPr>
      </w:pPr>
      <w:bookmarkStart w:id="22" w:name="_Toc45812378"/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Cláusula 18.ª – Comunicações e </w:t>
      </w:r>
      <w:r w:rsidR="00757721">
        <w:rPr>
          <w:rFonts w:ascii="HurmeGeometricSans4 Regular" w:hAnsi="HurmeGeometricSans4 Regular"/>
          <w:b/>
          <w:sz w:val="20"/>
          <w:szCs w:val="20"/>
          <w:lang w:eastAsia="en-US"/>
        </w:rPr>
        <w:t>N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>otificações</w:t>
      </w:r>
      <w:bookmarkEnd w:id="22"/>
    </w:p>
    <w:p w14:paraId="4971968A" w14:textId="77777777" w:rsidR="001E1563" w:rsidRPr="00E97B80" w:rsidRDefault="001E1563" w:rsidP="00757721">
      <w:pPr>
        <w:numPr>
          <w:ilvl w:val="0"/>
          <w:numId w:val="19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Sem prejuízo de poderem ser acordadas outras regras quanto às notificações e comunicações entre as partes do contrato, estas devem ser dirigidas, nos termos do CCP, para o domicílio ou sede contratual de cada uma, identificados no contrato.  </w:t>
      </w:r>
    </w:p>
    <w:p w14:paraId="25A90560" w14:textId="77777777" w:rsidR="001E1563" w:rsidRPr="00E97B80" w:rsidRDefault="001E1563" w:rsidP="00757721">
      <w:pPr>
        <w:numPr>
          <w:ilvl w:val="0"/>
          <w:numId w:val="19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Qualquer alteração das informações de contacto, incluindo endereço eletrónico, constantes do contrato deve ser, de imediato, comunicada à outra parte.</w:t>
      </w:r>
    </w:p>
    <w:p w14:paraId="603FF429" w14:textId="77777777" w:rsidR="001E1563" w:rsidRPr="00E97B80" w:rsidRDefault="001E1563" w:rsidP="00A459A5">
      <w:pPr>
        <w:autoSpaceDE w:val="0"/>
        <w:autoSpaceDN w:val="0"/>
        <w:adjustRightInd w:val="0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</w:p>
    <w:p w14:paraId="1086C341" w14:textId="1DAE502B" w:rsidR="001E1563" w:rsidRPr="00E97B80" w:rsidRDefault="001E1563" w:rsidP="00545506">
      <w:pPr>
        <w:keepNext/>
        <w:keepLines/>
        <w:jc w:val="center"/>
        <w:outlineLvl w:val="1"/>
        <w:rPr>
          <w:rFonts w:ascii="HurmeGeometricSans4 Regular" w:hAnsi="HurmeGeometricSans4 Regular"/>
          <w:b/>
          <w:sz w:val="20"/>
          <w:szCs w:val="20"/>
          <w:lang w:eastAsia="en-US"/>
        </w:rPr>
      </w:pPr>
      <w:bookmarkStart w:id="23" w:name="_Toc45812379"/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Cláusula 19.ª – Contagem dos </w:t>
      </w:r>
      <w:r w:rsidR="00E30D3F">
        <w:rPr>
          <w:rFonts w:ascii="HurmeGeometricSans4 Regular" w:hAnsi="HurmeGeometricSans4 Regular"/>
          <w:b/>
          <w:sz w:val="20"/>
          <w:szCs w:val="20"/>
          <w:lang w:eastAsia="en-US"/>
        </w:rPr>
        <w:t>P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>razos</w:t>
      </w:r>
      <w:bookmarkEnd w:id="23"/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 </w:t>
      </w:r>
    </w:p>
    <w:p w14:paraId="1CFD5FD8" w14:textId="77777777" w:rsidR="001E1563" w:rsidRPr="00E97B80" w:rsidRDefault="001E1563" w:rsidP="00E30D3F">
      <w:pPr>
        <w:numPr>
          <w:ilvl w:val="0"/>
          <w:numId w:val="20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Os prazos previstos no presente caderno de encargos são contínuos, correndo em sábados, domingos e feriados e começam a correr no dia seguinte à ocorrência do evento. </w:t>
      </w:r>
    </w:p>
    <w:p w14:paraId="3F52A308" w14:textId="77777777" w:rsidR="001E1563" w:rsidRPr="00E97B80" w:rsidRDefault="001E1563" w:rsidP="00E30D3F">
      <w:pPr>
        <w:numPr>
          <w:ilvl w:val="0"/>
          <w:numId w:val="20"/>
        </w:num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Caso o último dia do prazo seja sábado, domingo, feriado ou dia em que os serviços da entidade adjudicante, por qualquer causa, estejam encerrados, ou não funcione durante o período normal, transferes e para o primeiro dia útil seguinte.</w:t>
      </w:r>
    </w:p>
    <w:p w14:paraId="60454145" w14:textId="77777777" w:rsidR="001E1563" w:rsidRPr="00E97B80" w:rsidRDefault="001E1563" w:rsidP="00A459A5">
      <w:pPr>
        <w:autoSpaceDE w:val="0"/>
        <w:autoSpaceDN w:val="0"/>
        <w:adjustRightInd w:val="0"/>
        <w:jc w:val="both"/>
        <w:rPr>
          <w:rFonts w:ascii="HurmeGeometricSans4 Regular" w:eastAsia="Calibri" w:hAnsi="HurmeGeometricSans4 Regular"/>
          <w:sz w:val="20"/>
          <w:szCs w:val="20"/>
          <w:lang w:eastAsia="en-US"/>
        </w:rPr>
      </w:pPr>
    </w:p>
    <w:p w14:paraId="5BE5EC53" w14:textId="1D5F9A77" w:rsidR="001E1563" w:rsidRPr="00E97B80" w:rsidRDefault="001E1563" w:rsidP="00545506">
      <w:pPr>
        <w:keepNext/>
        <w:keepLines/>
        <w:jc w:val="center"/>
        <w:outlineLvl w:val="1"/>
        <w:rPr>
          <w:rFonts w:ascii="HurmeGeometricSans4 Regular" w:hAnsi="HurmeGeometricSans4 Regular"/>
          <w:b/>
          <w:sz w:val="20"/>
          <w:szCs w:val="20"/>
          <w:lang w:eastAsia="en-US"/>
        </w:rPr>
      </w:pPr>
      <w:bookmarkStart w:id="24" w:name="_Toc45812380"/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Cláusula 20.ª – Legislação </w:t>
      </w:r>
      <w:r w:rsidR="00E30D3F">
        <w:rPr>
          <w:rFonts w:ascii="HurmeGeometricSans4 Regular" w:hAnsi="HurmeGeometricSans4 Regular"/>
          <w:b/>
          <w:sz w:val="20"/>
          <w:szCs w:val="20"/>
          <w:lang w:eastAsia="en-US"/>
        </w:rPr>
        <w:t>A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>plicável</w:t>
      </w:r>
      <w:bookmarkEnd w:id="24"/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 </w:t>
      </w:r>
    </w:p>
    <w:p w14:paraId="1EA81A73" w14:textId="77777777" w:rsidR="001E1563" w:rsidRPr="00E97B80" w:rsidRDefault="001E1563" w:rsidP="00E30D3F">
      <w:pPr>
        <w:autoSpaceDE w:val="0"/>
        <w:autoSpaceDN w:val="0"/>
        <w:adjustRightInd w:val="0"/>
        <w:spacing w:before="120" w:line="312" w:lineRule="auto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Em tudo o que não esteja expressamente regulado neste processo, observar-se-á o disposto no Código dos Contratos Públicos e demais legislação aplicável.</w:t>
      </w:r>
    </w:p>
    <w:p w14:paraId="320B6FA4" w14:textId="77777777" w:rsidR="00BC3D67" w:rsidRPr="00E97B80" w:rsidRDefault="00BC3D67" w:rsidP="00A459A5">
      <w:pPr>
        <w:autoSpaceDE w:val="0"/>
        <w:autoSpaceDN w:val="0"/>
        <w:adjustRightInd w:val="0"/>
        <w:jc w:val="both"/>
        <w:rPr>
          <w:rFonts w:ascii="HurmeGeometricSans4 Regular" w:eastAsia="Calibri" w:hAnsi="HurmeGeometricSans4 Regular"/>
          <w:sz w:val="20"/>
          <w:szCs w:val="20"/>
          <w:lang w:eastAsia="en-US"/>
        </w:rPr>
      </w:pPr>
    </w:p>
    <w:p w14:paraId="10DF50EB" w14:textId="33F7611F" w:rsidR="001E1563" w:rsidRPr="00721D59" w:rsidRDefault="001E1563" w:rsidP="00721D59">
      <w:pPr>
        <w:keepNext/>
        <w:keepLines/>
        <w:spacing w:line="312" w:lineRule="auto"/>
        <w:jc w:val="center"/>
        <w:outlineLvl w:val="0"/>
        <w:rPr>
          <w:rFonts w:ascii="HurmeGeometricSans4 Regular" w:hAnsi="HurmeGeometricSans4 Regular"/>
          <w:b/>
          <w:smallCaps/>
          <w:szCs w:val="20"/>
          <w:lang w:eastAsia="en-US"/>
        </w:rPr>
      </w:pPr>
      <w:bookmarkStart w:id="25" w:name="_Toc45812381"/>
      <w:r w:rsidRPr="00721D59">
        <w:rPr>
          <w:rFonts w:ascii="HurmeGeometricSans4 Regular" w:hAnsi="HurmeGeometricSans4 Regular"/>
          <w:b/>
          <w:smallCaps/>
          <w:szCs w:val="20"/>
          <w:lang w:eastAsia="en-US"/>
        </w:rPr>
        <w:t>Capítulo IV – Disposições Técnicas</w:t>
      </w:r>
      <w:bookmarkEnd w:id="25"/>
    </w:p>
    <w:p w14:paraId="623010E0" w14:textId="51F1D623" w:rsidR="001E1563" w:rsidRPr="008E4D19" w:rsidRDefault="001E1563" w:rsidP="00721D59">
      <w:pPr>
        <w:keepNext/>
        <w:keepLines/>
        <w:spacing w:before="120"/>
        <w:jc w:val="center"/>
        <w:outlineLvl w:val="1"/>
        <w:rPr>
          <w:rFonts w:ascii="HurmeGeometricSans4 Regular" w:hAnsi="HurmeGeometricSans4 Regular"/>
          <w:b/>
          <w:sz w:val="20"/>
          <w:szCs w:val="20"/>
          <w:lang w:eastAsia="en-US"/>
        </w:rPr>
      </w:pPr>
      <w:bookmarkStart w:id="26" w:name="_Toc45812382"/>
      <w:r w:rsidRPr="008E4D19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Cláusula 21.ª – Especificações da </w:t>
      </w:r>
      <w:r w:rsidR="00420934" w:rsidRPr="008E4D19">
        <w:rPr>
          <w:rFonts w:ascii="HurmeGeometricSans4 Regular" w:hAnsi="HurmeGeometricSans4 Regular"/>
          <w:b/>
          <w:sz w:val="20"/>
          <w:szCs w:val="20"/>
          <w:lang w:eastAsia="en-US"/>
        </w:rPr>
        <w:t>P</w:t>
      </w:r>
      <w:r w:rsidRPr="008E4D19">
        <w:rPr>
          <w:rFonts w:ascii="HurmeGeometricSans4 Regular" w:hAnsi="HurmeGeometricSans4 Regular"/>
          <w:b/>
          <w:sz w:val="20"/>
          <w:szCs w:val="20"/>
          <w:lang w:eastAsia="en-US"/>
        </w:rPr>
        <w:t>restação</w:t>
      </w:r>
      <w:r w:rsidR="00420934" w:rsidRPr="008E4D19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 d</w:t>
      </w:r>
      <w:r w:rsidR="00F302D2" w:rsidRPr="008E4D19">
        <w:rPr>
          <w:rFonts w:ascii="HurmeGeometricSans4 Regular" w:hAnsi="HurmeGeometricSans4 Regular"/>
          <w:b/>
          <w:sz w:val="20"/>
          <w:szCs w:val="20"/>
          <w:lang w:eastAsia="en-US"/>
        </w:rPr>
        <w:t>e</w:t>
      </w:r>
      <w:r w:rsidR="00420934" w:rsidRPr="008E4D19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 Serviços</w:t>
      </w:r>
      <w:bookmarkEnd w:id="26"/>
    </w:p>
    <w:p w14:paraId="20AFD8EA" w14:textId="29022A86" w:rsidR="00490426" w:rsidRPr="008E4D19" w:rsidRDefault="00490426" w:rsidP="000F202E">
      <w:p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1.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ab/>
        <w:t xml:space="preserve">A Associação Quadrilátero </w:t>
      </w:r>
      <w:r w:rsidR="0051202B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Urbano 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está a desenvolver e implementar um Sistema de Bilhética Integrada nos serviços </w:t>
      </w:r>
      <w:r w:rsidR="00950F00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de 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transportes públicos que servem o território, um Sistema de Informação ao Público em Tempo Real </w:t>
      </w:r>
      <w:r w:rsidR="00950F00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para </w:t>
      </w:r>
      <w:r w:rsidR="00651DD6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diversos </w:t>
      </w:r>
      <w:r w:rsidR="00950F00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serviços de mobilidade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, </w:t>
      </w:r>
      <w:r w:rsidR="00651DD6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cujas 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operações </w:t>
      </w:r>
      <w:r w:rsidR="00651DD6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são 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cofinanciadas pelo </w:t>
      </w:r>
      <w:r w:rsidR="00B14352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Programa</w:t>
      </w:r>
      <w:r w:rsidR="00FE2963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</w:t>
      </w:r>
      <w:r w:rsidR="00B14352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Operacional</w:t>
      </w:r>
      <w:r w:rsidR="00FE2963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do Norte </w:t>
      </w:r>
      <w:r w:rsidR="00FE2963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lastRenderedPageBreak/>
        <w:t xml:space="preserve">(NORTE2020), 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ao abrigo do Aviso Nº NORTE-06-2018-07 – Plano Estratégico de Desenvolvimento Urbano</w:t>
      </w:r>
      <w:r w:rsidR="00B14352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. </w:t>
      </w:r>
      <w:r w:rsidR="00676E36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Em simultâneo</w:t>
      </w:r>
      <w:r w:rsidR="004C5001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, está a 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desenvolver e implementar o MAP – </w:t>
      </w:r>
      <w:r w:rsidRPr="008E4D19">
        <w:rPr>
          <w:rFonts w:ascii="HurmeGeometricSans4 Regular" w:eastAsia="Calibri" w:hAnsi="HurmeGeometricSans4 Regular" w:cs="Calibri Light"/>
          <w:i/>
          <w:iCs/>
          <w:color w:val="000000"/>
          <w:sz w:val="20"/>
          <w:szCs w:val="20"/>
          <w:lang w:eastAsia="en-US"/>
        </w:rPr>
        <w:t>Minho Access Point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, operação integrante do </w:t>
      </w:r>
      <w:r w:rsidR="0033586C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projeto Cooperative Streets</w:t>
      </w:r>
      <w:r w:rsidR="000F202E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(C-Streets)</w:t>
      </w:r>
      <w:r w:rsidR="0033586C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, </w:t>
      </w:r>
      <w:r w:rsidR="000F202E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financiada </w:t>
      </w:r>
      <w:r w:rsidR="002B4488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através da contratualização firmada no </w:t>
      </w:r>
      <w:r w:rsidR="002B4488" w:rsidRPr="008E4D19">
        <w:rPr>
          <w:rFonts w:ascii="HurmeGeometricSans4 Regular" w:eastAsia="Calibri" w:hAnsi="HurmeGeometricSans4 Regular" w:cs="Calibri Light"/>
          <w:i/>
          <w:iCs/>
          <w:color w:val="000000"/>
          <w:sz w:val="20"/>
          <w:szCs w:val="20"/>
          <w:lang w:eastAsia="en-US"/>
        </w:rPr>
        <w:t>Grant Agreement Under the Connecting Europe Facility (CEF) – Transport Sector – Agreement n.º INEA/CEF/TRAN/M2018/1796634</w:t>
      </w:r>
      <w:r w:rsidR="002B4488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. </w:t>
      </w:r>
    </w:p>
    <w:p w14:paraId="19383203" w14:textId="731E0554" w:rsidR="00A411AA" w:rsidRPr="008E4D19" w:rsidRDefault="00490426" w:rsidP="0006236A">
      <w:p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2.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ab/>
        <w:t xml:space="preserve">Dada a complexidade das ações/operações a desenvolver e as exigências contratuais que advêm da implementação dos sistemas referidos no ponto anterior, a Associação Quadrilátero </w:t>
      </w:r>
      <w:r w:rsidR="00D91DF9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Urbano 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considerou oportuno recorrer à contratação de uma prestação de serviços para o processo de </w:t>
      </w:r>
      <w:r w:rsidR="00F21619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gestão</w:t>
      </w:r>
      <w:r w:rsidR="005A5120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,</w:t>
      </w:r>
      <w:r w:rsidR="00F21619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</w:t>
      </w:r>
      <w:r w:rsidR="00447852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acompanhamento técnico e tecnológico, 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monitorização</w:t>
      </w:r>
      <w:r w:rsidR="005A5120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, tratamento administrativo e reporte financeiro 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da operação MAP – </w:t>
      </w:r>
      <w:r w:rsidRPr="008E4D19">
        <w:rPr>
          <w:rFonts w:ascii="HurmeGeometricSans4 Regular" w:eastAsia="Calibri" w:hAnsi="HurmeGeometricSans4 Regular" w:cs="Calibri Light"/>
          <w:i/>
          <w:iCs/>
          <w:color w:val="000000"/>
          <w:sz w:val="20"/>
          <w:szCs w:val="20"/>
          <w:lang w:eastAsia="en-US"/>
        </w:rPr>
        <w:t>Minho Access Point</w:t>
      </w:r>
      <w:r w:rsidR="00A411AA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</w:t>
      </w:r>
      <w:r w:rsidR="00481B92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integrada </w:t>
      </w:r>
      <w:r w:rsidR="0040524F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no Piloto 4 MMTIS (</w:t>
      </w:r>
      <w:r w:rsidR="0040524F" w:rsidRPr="008E4D19">
        <w:rPr>
          <w:rFonts w:ascii="HurmeGeometricSans4 Regular" w:eastAsia="Calibri" w:hAnsi="HurmeGeometricSans4 Regular" w:cs="Calibri Light"/>
          <w:i/>
          <w:iCs/>
          <w:color w:val="000000"/>
          <w:sz w:val="20"/>
          <w:szCs w:val="20"/>
          <w:lang w:eastAsia="en-US"/>
        </w:rPr>
        <w:t>Multimodal Travel Information Services</w:t>
      </w:r>
      <w:r w:rsidR="0040524F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) do projeto europeu C-</w:t>
      </w:r>
      <w:r w:rsidR="004F1314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Strees </w:t>
      </w:r>
      <w:r w:rsidR="0040524F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(Action nº 2018-PT-TM-0099-S)</w:t>
      </w:r>
      <w:r w:rsidR="0006236A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, 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sendo o objeto do presente procedimento uma das ações previstas e com cofinanciamento assegurado</w:t>
      </w:r>
      <w:r w:rsidR="0006236A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.</w:t>
      </w:r>
    </w:p>
    <w:p w14:paraId="3798AD07" w14:textId="3AC2B74B" w:rsidR="00490426" w:rsidRPr="008E4D19" w:rsidRDefault="00490426" w:rsidP="004F1314">
      <w:p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3.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ab/>
        <w:t xml:space="preserve">Pretende-se que o adjudicatário, durante o prazo referido na cláusula 2.ª, desenvolva os serviços de assistência técnica a esta Associação no processo de “gestão, acompanhamento e implementação do </w:t>
      </w:r>
      <w:r w:rsidR="00A411AA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MAP – </w:t>
      </w:r>
      <w:r w:rsidR="00A411AA" w:rsidRPr="008E4D19">
        <w:rPr>
          <w:rFonts w:ascii="HurmeGeometricSans4 Regular" w:eastAsia="Calibri" w:hAnsi="HurmeGeometricSans4 Regular" w:cs="Calibri Light"/>
          <w:i/>
          <w:iCs/>
          <w:color w:val="000000"/>
          <w:sz w:val="20"/>
          <w:szCs w:val="20"/>
          <w:lang w:eastAsia="en-US"/>
        </w:rPr>
        <w:t>Minho Access Point</w:t>
      </w:r>
      <w:r w:rsidR="00A411AA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, operação integrante do pro</w:t>
      </w:r>
      <w:r w:rsidR="00D04207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jeto </w:t>
      </w:r>
      <w:r w:rsidR="00A411AA" w:rsidRPr="008E4D19">
        <w:rPr>
          <w:rFonts w:ascii="HurmeGeometricSans4 Regular" w:eastAsia="Calibri" w:hAnsi="HurmeGeometricSans4 Regular" w:cs="Calibri Light"/>
          <w:i/>
          <w:iCs/>
          <w:color w:val="000000"/>
          <w:sz w:val="20"/>
          <w:szCs w:val="20"/>
          <w:lang w:eastAsia="en-US"/>
        </w:rPr>
        <w:t>Cooperative Streets</w:t>
      </w:r>
      <w:r w:rsidR="00D04207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(Action nº 2018-PT-TM-0099-S)</w:t>
      </w:r>
      <w:r w:rsidR="0007189B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. Os serviços </w:t>
      </w:r>
      <w:r w:rsidR="00A5326C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de assistência técnica </w:t>
      </w:r>
      <w:r w:rsidR="0007189B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devem prever a </w:t>
      </w:r>
      <w:r w:rsidR="00A5326C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execução das seguintes tarefas:</w:t>
      </w:r>
    </w:p>
    <w:p w14:paraId="726612F1" w14:textId="340CC985" w:rsidR="00490426" w:rsidRPr="008E4D19" w:rsidRDefault="00490426" w:rsidP="00536C54">
      <w:pPr>
        <w:autoSpaceDE w:val="0"/>
        <w:autoSpaceDN w:val="0"/>
        <w:adjustRightInd w:val="0"/>
        <w:spacing w:before="60"/>
        <w:ind w:left="850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a)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ab/>
        <w:t xml:space="preserve">Monitorização </w:t>
      </w:r>
      <w:r w:rsidR="00FF6512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técnica, tecnológica 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e re</w:t>
      </w:r>
      <w:r w:rsidR="00A411AA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porte anual da implementação da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operaç</w:t>
      </w:r>
      <w:r w:rsidR="00A411AA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ão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</w:t>
      </w:r>
      <w:r w:rsidR="00A411AA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MAP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;</w:t>
      </w:r>
    </w:p>
    <w:p w14:paraId="50F1982B" w14:textId="6B2B49D8" w:rsidR="00490426" w:rsidRPr="008E4D19" w:rsidRDefault="00490426" w:rsidP="00AD0E7B">
      <w:pPr>
        <w:autoSpaceDE w:val="0"/>
        <w:autoSpaceDN w:val="0"/>
        <w:adjustRightInd w:val="0"/>
        <w:spacing w:before="80"/>
        <w:ind w:left="850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b)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ab/>
        <w:t xml:space="preserve">Apoio à gestão e </w:t>
      </w:r>
      <w:r w:rsidR="00A411AA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execução física e financeira da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operaç</w:t>
      </w:r>
      <w:r w:rsidR="00A411AA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ão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, nomeadamente através da monitorização de resultados (indicadores de realização e </w:t>
      </w:r>
      <w:r w:rsidR="002F7A72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de 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resultado), do controlo da execução financeira (pedidos de pagamento), de eventuais pedidos de alteração das operações e do controlo dos termos de informação e publicidade;</w:t>
      </w:r>
    </w:p>
    <w:p w14:paraId="5F6783C2" w14:textId="6B01809C" w:rsidR="00490426" w:rsidRPr="008E4D19" w:rsidRDefault="00490426" w:rsidP="00AD0E7B">
      <w:pPr>
        <w:autoSpaceDE w:val="0"/>
        <w:autoSpaceDN w:val="0"/>
        <w:adjustRightInd w:val="0"/>
        <w:spacing w:before="80"/>
        <w:ind w:left="850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c)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ab/>
        <w:t>Produção de relatórios anuais de monitoriza</w:t>
      </w:r>
      <w:r w:rsidR="00A411AA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ção da operação (quatro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relatórios, com reporte às datas de 31 de dezembro de 20</w:t>
      </w:r>
      <w:r w:rsidR="00A411AA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20, 31 de dezembro de 2021, 31 de dezembro de 2022 e 31 de dezembro de 2023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);</w:t>
      </w:r>
    </w:p>
    <w:p w14:paraId="21369706" w14:textId="41BDE843" w:rsidR="00490426" w:rsidRPr="008E4D19" w:rsidRDefault="00490426" w:rsidP="00AD0E7B">
      <w:pPr>
        <w:autoSpaceDE w:val="0"/>
        <w:autoSpaceDN w:val="0"/>
        <w:adjustRightInd w:val="0"/>
        <w:spacing w:before="80"/>
        <w:ind w:left="850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d)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ab/>
        <w:t xml:space="preserve">Acompanhamento de todos os projetos associados ao desenvolvimento e implementação do </w:t>
      </w:r>
      <w:r w:rsidR="00A411AA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MAP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, nomeadamente através da participação nas</w:t>
      </w:r>
      <w:r w:rsidR="00A411AA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reuniões técnicas associadas </w:t>
      </w:r>
      <w:r w:rsidR="00C464EF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à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</w:t>
      </w:r>
      <w:r w:rsidR="00A411AA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operação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em causa e à emissão de parecer</w:t>
      </w:r>
      <w:r w:rsidR="00A411AA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es ou recomendações relativ</w:t>
      </w:r>
      <w:r w:rsidR="002F7A72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a</w:t>
      </w:r>
      <w:r w:rsidR="00A411AA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s </w:t>
      </w:r>
      <w:r w:rsidR="002F7A72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à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mesma</w:t>
      </w:r>
      <w:r w:rsidR="00A411AA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;</w:t>
      </w:r>
    </w:p>
    <w:p w14:paraId="464C8A16" w14:textId="30DBF841" w:rsidR="00490426" w:rsidRPr="008E4D19" w:rsidRDefault="00A411AA" w:rsidP="00AD0E7B">
      <w:pPr>
        <w:autoSpaceDE w:val="0"/>
        <w:autoSpaceDN w:val="0"/>
        <w:adjustRightInd w:val="0"/>
        <w:spacing w:before="80"/>
        <w:ind w:left="850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e)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ab/>
        <w:t>Apoio ao encerramento da</w:t>
      </w:r>
      <w:r w:rsidR="00490426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operaç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ão</w:t>
      </w:r>
      <w:r w:rsidR="00490426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, consubstanciado na produção do Relatório Final (Relatório Final de Avaliação, no decurso do último mês de vigência do contrato de prestação de serviços).</w:t>
      </w:r>
    </w:p>
    <w:p w14:paraId="015A3DB8" w14:textId="4E7938F0" w:rsidR="00490426" w:rsidRPr="008E4D19" w:rsidRDefault="00B8164A" w:rsidP="00B8164A">
      <w:pPr>
        <w:autoSpaceDE w:val="0"/>
        <w:autoSpaceDN w:val="0"/>
        <w:adjustRightInd w:val="0"/>
        <w:spacing w:before="120" w:line="312" w:lineRule="auto"/>
        <w:ind w:left="425" w:hanging="425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4</w:t>
      </w:r>
      <w:r w:rsidR="00490426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.</w:t>
      </w:r>
      <w:r w:rsidR="00490426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ab/>
        <w:t>Para a presente prestação de serviços propõe-se a seguinte calendarização dos trabalhos (e respetivos entregáveis):</w:t>
      </w:r>
    </w:p>
    <w:p w14:paraId="7DFE7982" w14:textId="5E1BF4BF" w:rsidR="00490426" w:rsidRPr="008E4D19" w:rsidRDefault="002B4E07" w:rsidP="00D25187">
      <w:pPr>
        <w:pStyle w:val="PargrafodaLista"/>
        <w:numPr>
          <w:ilvl w:val="0"/>
          <w:numId w:val="27"/>
        </w:numPr>
        <w:autoSpaceDE w:val="0"/>
        <w:autoSpaceDN w:val="0"/>
        <w:adjustRightInd w:val="0"/>
        <w:spacing w:before="60"/>
        <w:ind w:left="709" w:hanging="284"/>
        <w:contextualSpacing w:val="0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45</w:t>
      </w:r>
      <w:r w:rsidR="00490426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dias após assinatura do contrato: entrega de um Memorando de Progresso, contendo a abordagem metodológica contratualizada, reporte das reuniões iniciais e ponto 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de situação sobre a execução da</w:t>
      </w:r>
      <w:r w:rsidR="00490426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operaç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ão</w:t>
      </w:r>
      <w:r w:rsidR="00490426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</w:t>
      </w:r>
      <w:r w:rsidR="00A411AA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MAP</w:t>
      </w:r>
      <w:r w:rsidR="00490426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;</w:t>
      </w:r>
    </w:p>
    <w:p w14:paraId="26885CE0" w14:textId="31ABC419" w:rsidR="00490426" w:rsidRPr="008E4D19" w:rsidRDefault="00B40F2C" w:rsidP="00D25187">
      <w:pPr>
        <w:pStyle w:val="PargrafodaLista"/>
        <w:numPr>
          <w:ilvl w:val="0"/>
          <w:numId w:val="27"/>
        </w:numPr>
        <w:autoSpaceDE w:val="0"/>
        <w:autoSpaceDN w:val="0"/>
        <w:adjustRightInd w:val="0"/>
        <w:spacing w:before="80"/>
        <w:ind w:left="709" w:hanging="284"/>
        <w:contextualSpacing w:val="0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Fevereiro</w:t>
      </w:r>
      <w:r w:rsidR="00A411AA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de 2021</w:t>
      </w:r>
      <w:r w:rsidR="00490426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: entrega do Relatório de Monitorização Anual 2020 (com reporte de informação à data de 31 de dezembro de 20</w:t>
      </w:r>
      <w:r w:rsidR="00A411AA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20</w:t>
      </w:r>
      <w:r w:rsidR="00490426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);</w:t>
      </w:r>
    </w:p>
    <w:p w14:paraId="022B02E8" w14:textId="6E618B4B" w:rsidR="002B4E07" w:rsidRPr="008E4D19" w:rsidRDefault="00B40F2C" w:rsidP="00D25187">
      <w:pPr>
        <w:pStyle w:val="PargrafodaLista"/>
        <w:numPr>
          <w:ilvl w:val="0"/>
          <w:numId w:val="27"/>
        </w:numPr>
        <w:autoSpaceDE w:val="0"/>
        <w:autoSpaceDN w:val="0"/>
        <w:adjustRightInd w:val="0"/>
        <w:spacing w:before="80"/>
        <w:ind w:left="709" w:hanging="284"/>
        <w:contextualSpacing w:val="0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Fevereiro</w:t>
      </w:r>
      <w:r w:rsidR="00490426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de</w:t>
      </w:r>
      <w:r w:rsidR="00A411AA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2022</w:t>
      </w:r>
      <w:r w:rsidR="00490426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: entrega do Relatório de Monitorização Anual 2021 (com reporte de informação </w:t>
      </w:r>
      <w:r w:rsidR="002B4E07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à data de 31 de dezembro de 2021</w:t>
      </w:r>
      <w:r w:rsidR="00490426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);</w:t>
      </w:r>
    </w:p>
    <w:p w14:paraId="7E44C5C1" w14:textId="7CF397F7" w:rsidR="002B4E07" w:rsidRPr="008E4D19" w:rsidRDefault="00B40F2C" w:rsidP="00D25187">
      <w:pPr>
        <w:pStyle w:val="PargrafodaLista"/>
        <w:numPr>
          <w:ilvl w:val="0"/>
          <w:numId w:val="27"/>
        </w:numPr>
        <w:autoSpaceDE w:val="0"/>
        <w:autoSpaceDN w:val="0"/>
        <w:adjustRightInd w:val="0"/>
        <w:spacing w:before="80"/>
        <w:ind w:left="709" w:hanging="284"/>
        <w:contextualSpacing w:val="0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Fevereiro</w:t>
      </w:r>
      <w:r w:rsidR="002B4E07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de 2023: entrega do Relatório de Monitorização Anual 2022 (com reporte de informação à data de 31 de dezembro de 2022);</w:t>
      </w:r>
    </w:p>
    <w:p w14:paraId="13876DE5" w14:textId="4DD79B82" w:rsidR="001E1563" w:rsidRPr="008E4D19" w:rsidRDefault="002B4E07" w:rsidP="00D25187">
      <w:pPr>
        <w:pStyle w:val="PargrafodaLista"/>
        <w:numPr>
          <w:ilvl w:val="0"/>
          <w:numId w:val="27"/>
        </w:numPr>
        <w:autoSpaceDE w:val="0"/>
        <w:autoSpaceDN w:val="0"/>
        <w:adjustRightInd w:val="0"/>
        <w:spacing w:before="80"/>
        <w:ind w:left="709" w:hanging="284"/>
        <w:contextualSpacing w:val="0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Ú</w:t>
      </w:r>
      <w:r w:rsidR="00490426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ltimo mês de vigência do contrato: entrega do Relatório Final d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e Avaliação da Implementação do</w:t>
      </w:r>
      <w:r w:rsidR="00490426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MAP</w:t>
      </w:r>
      <w:r w:rsidR="00490426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no Território do Quadrilátero (previsão para outubro de 202</w:t>
      </w:r>
      <w:r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3</w:t>
      </w:r>
      <w:r w:rsidR="00490426" w:rsidRPr="008E4D1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), enquanto instrumento de encerramento físico e financeiro das operações.</w:t>
      </w:r>
    </w:p>
    <w:p w14:paraId="4DB4320F" w14:textId="77777777" w:rsidR="00E551B7" w:rsidRPr="00AD0E7B" w:rsidRDefault="00E551B7" w:rsidP="00A459A5">
      <w:pPr>
        <w:autoSpaceDE w:val="0"/>
        <w:autoSpaceDN w:val="0"/>
        <w:adjustRightInd w:val="0"/>
        <w:jc w:val="both"/>
        <w:rPr>
          <w:rFonts w:ascii="HurmeGeometricSans4 Regular" w:eastAsia="Calibri" w:hAnsi="HurmeGeometricSans4 Regular"/>
          <w:sz w:val="18"/>
          <w:szCs w:val="18"/>
          <w:lang w:eastAsia="en-US"/>
        </w:rPr>
      </w:pPr>
    </w:p>
    <w:p w14:paraId="4D8FA48F" w14:textId="0347353D" w:rsidR="001E1563" w:rsidRPr="00E97B80" w:rsidRDefault="001E1563" w:rsidP="00A459A5">
      <w:pPr>
        <w:keepNext/>
        <w:keepLines/>
        <w:jc w:val="center"/>
        <w:outlineLvl w:val="1"/>
        <w:rPr>
          <w:rFonts w:ascii="HurmeGeometricSans4 Regular" w:hAnsi="HurmeGeometricSans4 Regular"/>
          <w:b/>
          <w:sz w:val="20"/>
          <w:szCs w:val="20"/>
          <w:lang w:eastAsia="en-US"/>
        </w:rPr>
      </w:pPr>
      <w:bookmarkStart w:id="27" w:name="_Toc45812383"/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lastRenderedPageBreak/>
        <w:t xml:space="preserve">Cláusula 22.ª – Preço </w:t>
      </w:r>
      <w:r w:rsidR="009509F6">
        <w:rPr>
          <w:rFonts w:ascii="HurmeGeometricSans4 Regular" w:hAnsi="HurmeGeometricSans4 Regular"/>
          <w:b/>
          <w:sz w:val="20"/>
          <w:szCs w:val="20"/>
          <w:lang w:eastAsia="en-US"/>
        </w:rPr>
        <w:t>B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>ase</w:t>
      </w:r>
      <w:bookmarkEnd w:id="27"/>
    </w:p>
    <w:p w14:paraId="1AA8EEE6" w14:textId="5B59BD9C" w:rsidR="001E1563" w:rsidRPr="00E97B80" w:rsidRDefault="001E1563" w:rsidP="00270A03">
      <w:pPr>
        <w:autoSpaceDE w:val="0"/>
        <w:autoSpaceDN w:val="0"/>
        <w:adjustRightInd w:val="0"/>
        <w:spacing w:before="120" w:line="312" w:lineRule="auto"/>
        <w:jc w:val="both"/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O preço base para o presente procedimento é </w:t>
      </w:r>
      <w:r w:rsidR="006B77D5" w:rsidRPr="00E74522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de € </w:t>
      </w:r>
      <w:r w:rsidR="00E551B7" w:rsidRPr="00E74522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75</w:t>
      </w:r>
      <w:r w:rsidR="0096383B" w:rsidRPr="00E74522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.</w:t>
      </w:r>
      <w:r w:rsidR="00E551B7" w:rsidRPr="00E74522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000</w:t>
      </w:r>
      <w:r w:rsidR="0070623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,</w:t>
      </w:r>
      <w:r w:rsidR="00E551B7" w:rsidRPr="00E74522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00</w:t>
      </w:r>
      <w:r w:rsidR="00706239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€</w:t>
      </w:r>
      <w:r w:rsidRPr="00E74522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(</w:t>
      </w:r>
      <w:r w:rsidR="00E551B7" w:rsidRPr="00E74522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setenta e cinco mil</w:t>
      </w:r>
      <w:r w:rsidRPr="00E74522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euros),</w:t>
      </w: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 xml:space="preserve"> acrescido de IVA à taxa legal em vigor, correspondendo ao preço máximo que a entidade adjudicante se dispõe a pagar pela prestação que constitui o seu objeto, nos termos definidos pelo artigo 47.º do CCP.</w:t>
      </w:r>
    </w:p>
    <w:p w14:paraId="5DE1A513" w14:textId="77777777" w:rsidR="001E1563" w:rsidRPr="00AD0E7B" w:rsidRDefault="001E1563" w:rsidP="00A459A5">
      <w:pPr>
        <w:autoSpaceDE w:val="0"/>
        <w:autoSpaceDN w:val="0"/>
        <w:adjustRightInd w:val="0"/>
        <w:jc w:val="both"/>
        <w:rPr>
          <w:rFonts w:ascii="HurmeGeometricSans4 Regular" w:eastAsia="Calibri" w:hAnsi="HurmeGeometricSans4 Regular" w:cs="Calibri Light"/>
          <w:color w:val="000000"/>
          <w:sz w:val="18"/>
          <w:szCs w:val="18"/>
          <w:lang w:eastAsia="en-US"/>
        </w:rPr>
      </w:pPr>
    </w:p>
    <w:p w14:paraId="3486BA98" w14:textId="6825FF6C" w:rsidR="001E1563" w:rsidRPr="00E97B80" w:rsidRDefault="001E1563" w:rsidP="00A459A5">
      <w:pPr>
        <w:keepNext/>
        <w:keepLines/>
        <w:jc w:val="center"/>
        <w:outlineLvl w:val="1"/>
        <w:rPr>
          <w:rFonts w:ascii="HurmeGeometricSans4 Regular" w:hAnsi="HurmeGeometricSans4 Regular" w:cs="Calibri Light"/>
          <w:b/>
          <w:color w:val="000000"/>
          <w:sz w:val="20"/>
          <w:szCs w:val="20"/>
          <w:lang w:eastAsia="en-US"/>
        </w:rPr>
      </w:pPr>
      <w:bookmarkStart w:id="28" w:name="_Toc45812384"/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Cláusula </w:t>
      </w:r>
      <w:r w:rsidRPr="00E97B80">
        <w:rPr>
          <w:rFonts w:ascii="HurmeGeometricSans4 Regular" w:hAnsi="HurmeGeometricSans4 Regular" w:cs="Calibri Light"/>
          <w:b/>
          <w:color w:val="000000"/>
          <w:sz w:val="20"/>
          <w:szCs w:val="20"/>
          <w:lang w:eastAsia="en-US"/>
        </w:rPr>
        <w:t xml:space="preserve">23ª Preço </w:t>
      </w:r>
      <w:r w:rsidR="00270A03">
        <w:rPr>
          <w:rFonts w:ascii="HurmeGeometricSans4 Regular" w:hAnsi="HurmeGeometricSans4 Regular" w:cs="Calibri Light"/>
          <w:b/>
          <w:color w:val="000000"/>
          <w:sz w:val="20"/>
          <w:szCs w:val="20"/>
          <w:lang w:eastAsia="en-US"/>
        </w:rPr>
        <w:t>A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 xml:space="preserve">normalmente </w:t>
      </w:r>
      <w:r w:rsidR="00270A03">
        <w:rPr>
          <w:rFonts w:ascii="HurmeGeometricSans4 Regular" w:hAnsi="HurmeGeometricSans4 Regular"/>
          <w:b/>
          <w:sz w:val="20"/>
          <w:szCs w:val="20"/>
          <w:lang w:eastAsia="en-US"/>
        </w:rPr>
        <w:t>B</w:t>
      </w:r>
      <w:r w:rsidRPr="00E97B80">
        <w:rPr>
          <w:rFonts w:ascii="HurmeGeometricSans4 Regular" w:hAnsi="HurmeGeometricSans4 Regular"/>
          <w:b/>
          <w:sz w:val="20"/>
          <w:szCs w:val="20"/>
          <w:lang w:eastAsia="en-US"/>
        </w:rPr>
        <w:t>aixo</w:t>
      </w:r>
      <w:bookmarkEnd w:id="28"/>
    </w:p>
    <w:p w14:paraId="3D148BB5" w14:textId="58B4C95D" w:rsidR="001E1563" w:rsidRPr="0051202B" w:rsidRDefault="001E1563" w:rsidP="00602E5A">
      <w:pPr>
        <w:autoSpaceDE w:val="0"/>
        <w:autoSpaceDN w:val="0"/>
        <w:adjustRightInd w:val="0"/>
        <w:spacing w:before="120" w:line="312" w:lineRule="auto"/>
        <w:jc w:val="both"/>
        <w:rPr>
          <w:rFonts w:ascii="HurmeGeometricSans4 Regular" w:eastAsia="Calibri" w:hAnsi="HurmeGeometricSans4 Regular" w:cs="Calibri Light"/>
          <w:bCs/>
          <w:color w:val="000000"/>
          <w:sz w:val="20"/>
          <w:szCs w:val="20"/>
          <w:lang w:eastAsia="en-US"/>
        </w:rPr>
      </w:pPr>
      <w:r w:rsidRPr="00E97B80">
        <w:rPr>
          <w:rFonts w:ascii="HurmeGeometricSans4 Regular" w:eastAsia="Calibri" w:hAnsi="HurmeGeometricSans4 Regular" w:cs="Calibri Light"/>
          <w:color w:val="000000"/>
          <w:sz w:val="20"/>
          <w:szCs w:val="20"/>
          <w:lang w:eastAsia="en-US"/>
        </w:rPr>
        <w:t>Considera-se que o preço total resultante de uma proposta é anormalmente baixo quando o mesmo seja 20% ou mais inferior ao preço base.</w:t>
      </w:r>
    </w:p>
    <w:sectPr w:rsidR="001E1563" w:rsidRPr="0051202B" w:rsidSect="00B40122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2552" w:right="1134" w:bottom="102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2A8A45" w14:textId="77777777" w:rsidR="007A624D" w:rsidRDefault="007A624D">
      <w:r>
        <w:separator/>
      </w:r>
    </w:p>
  </w:endnote>
  <w:endnote w:type="continuationSeparator" w:id="0">
    <w:p w14:paraId="3448DA52" w14:textId="77777777" w:rsidR="007A624D" w:rsidRDefault="007A6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urmeGeometricSans4 Regular">
    <w:altName w:val="Corbel"/>
    <w:panose1 w:val="00000000000000000000"/>
    <w:charset w:val="00"/>
    <w:family w:val="swiss"/>
    <w:notTrueType/>
    <w:pitch w:val="variable"/>
    <w:sig w:usb0="A000002F" w:usb1="40002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mbusSanL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7AC80" w14:textId="77777777" w:rsidR="006E57E1" w:rsidRPr="00621BC9" w:rsidRDefault="006E57E1" w:rsidP="006E57E1">
    <w:pPr>
      <w:pBdr>
        <w:top w:val="single" w:sz="4" w:space="1" w:color="auto"/>
      </w:pBdr>
      <w:spacing w:before="120"/>
      <w:jc w:val="center"/>
      <w:rPr>
        <w:rFonts w:ascii="Comic Sans MS" w:hAnsi="Comic Sans MS" w:cs="Arial"/>
        <w:sz w:val="18"/>
        <w:szCs w:val="18"/>
      </w:rPr>
    </w:pPr>
    <w:r w:rsidRPr="00621BC9">
      <w:rPr>
        <w:rFonts w:ascii="Comic Sans MS" w:hAnsi="Comic Sans MS" w:cs="Arial"/>
        <w:sz w:val="18"/>
        <w:szCs w:val="18"/>
      </w:rPr>
      <w:t xml:space="preserve">Página </w:t>
    </w:r>
    <w:r w:rsidRPr="00621BC9">
      <w:rPr>
        <w:rFonts w:ascii="Comic Sans MS" w:hAnsi="Comic Sans MS" w:cs="Arial"/>
        <w:sz w:val="18"/>
        <w:szCs w:val="18"/>
      </w:rPr>
      <w:fldChar w:fldCharType="begin"/>
    </w:r>
    <w:r w:rsidRPr="00621BC9">
      <w:rPr>
        <w:rFonts w:ascii="Comic Sans MS" w:hAnsi="Comic Sans MS" w:cs="Arial"/>
        <w:sz w:val="18"/>
        <w:szCs w:val="18"/>
      </w:rPr>
      <w:instrText>PAGE   \* MERGEFORMAT</w:instrText>
    </w:r>
    <w:r w:rsidRPr="00621BC9">
      <w:rPr>
        <w:rFonts w:ascii="Comic Sans MS" w:hAnsi="Comic Sans MS" w:cs="Arial"/>
        <w:sz w:val="18"/>
        <w:szCs w:val="18"/>
      </w:rPr>
      <w:fldChar w:fldCharType="separate"/>
    </w:r>
    <w:r w:rsidR="00E73A3C">
      <w:rPr>
        <w:rFonts w:ascii="Comic Sans MS" w:hAnsi="Comic Sans MS" w:cs="Arial"/>
        <w:noProof/>
        <w:sz w:val="18"/>
        <w:szCs w:val="18"/>
      </w:rPr>
      <w:t>9</w:t>
    </w:r>
    <w:r w:rsidRPr="00621BC9">
      <w:rPr>
        <w:rFonts w:ascii="Comic Sans MS" w:hAnsi="Comic Sans MS" w:cs="Arial"/>
        <w:sz w:val="18"/>
        <w:szCs w:val="18"/>
      </w:rPr>
      <w:fldChar w:fldCharType="end"/>
    </w:r>
  </w:p>
  <w:p w14:paraId="6DDE57C7" w14:textId="77777777" w:rsidR="0033664E" w:rsidRPr="00C50F14" w:rsidRDefault="0033664E">
    <w:pPr>
      <w:pStyle w:val="Rodap"/>
      <w:rPr>
        <w:rFonts w:asciiTheme="minorHAnsi" w:hAnsiTheme="minorHAnsi" w:cstheme="minorHAnsi"/>
        <w:sz w:val="12"/>
        <w:szCs w:val="1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1E0" w:firstRow="1" w:lastRow="1" w:firstColumn="1" w:lastColumn="1" w:noHBand="0" w:noVBand="0"/>
    </w:tblPr>
    <w:tblGrid>
      <w:gridCol w:w="2471"/>
      <w:gridCol w:w="2471"/>
      <w:gridCol w:w="2471"/>
      <w:gridCol w:w="2472"/>
    </w:tblGrid>
    <w:tr w:rsidR="00D1306D" w14:paraId="38ED3085" w14:textId="77777777" w:rsidTr="00AE6122">
      <w:trPr>
        <w:trHeight w:val="803"/>
        <w:jc w:val="center"/>
      </w:trPr>
      <w:tc>
        <w:tcPr>
          <w:tcW w:w="2471" w:type="dxa"/>
        </w:tcPr>
        <w:p w14:paraId="48158285" w14:textId="77777777" w:rsidR="00D1306D" w:rsidRPr="00421743" w:rsidRDefault="00D1306D" w:rsidP="00D1306D">
          <w:pPr>
            <w:pStyle w:val="Rodap"/>
            <w:jc w:val="center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noProof/>
              <w:sz w:val="12"/>
              <w:szCs w:val="12"/>
            </w:rPr>
            <w:drawing>
              <wp:inline distT="0" distB="0" distL="0" distR="0" wp14:anchorId="7E6B39CD" wp14:editId="7295655B">
                <wp:extent cx="1431290" cy="532765"/>
                <wp:effectExtent l="0" t="0" r="0" b="635"/>
                <wp:docPr id="50" name="Imagem 50" descr="BC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C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1290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71" w:type="dxa"/>
        </w:tcPr>
        <w:p w14:paraId="7C3D05E6" w14:textId="77777777" w:rsidR="00D1306D" w:rsidRPr="00421743" w:rsidRDefault="00D1306D" w:rsidP="00D1306D">
          <w:pPr>
            <w:pStyle w:val="Rodap"/>
            <w:jc w:val="center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noProof/>
              <w:sz w:val="12"/>
              <w:szCs w:val="12"/>
            </w:rPr>
            <w:drawing>
              <wp:inline distT="0" distB="0" distL="0" distR="0" wp14:anchorId="685E45DF" wp14:editId="03AB78EC">
                <wp:extent cx="1431290" cy="731520"/>
                <wp:effectExtent l="0" t="0" r="0" b="0"/>
                <wp:docPr id="51" name="Imagem 51" descr="BR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BR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1290" cy="731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71" w:type="dxa"/>
        </w:tcPr>
        <w:p w14:paraId="4C1843BD" w14:textId="77777777" w:rsidR="00D1306D" w:rsidRPr="00421743" w:rsidRDefault="00D1306D" w:rsidP="00D1306D">
          <w:pPr>
            <w:pStyle w:val="Rodap"/>
            <w:jc w:val="center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noProof/>
              <w:sz w:val="12"/>
              <w:szCs w:val="12"/>
            </w:rPr>
            <w:drawing>
              <wp:inline distT="0" distB="0" distL="0" distR="0" wp14:anchorId="644AA157" wp14:editId="1E1C7BDF">
                <wp:extent cx="1431290" cy="826770"/>
                <wp:effectExtent l="0" t="0" r="0" b="0"/>
                <wp:docPr id="52" name="Imagem 52" descr="VN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VN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1290" cy="826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72" w:type="dxa"/>
        </w:tcPr>
        <w:p w14:paraId="59EB74D0" w14:textId="77777777" w:rsidR="00D1306D" w:rsidRPr="00421743" w:rsidRDefault="00D1306D" w:rsidP="00D1306D">
          <w:pPr>
            <w:pStyle w:val="Ttulo"/>
            <w:widowControl w:val="0"/>
            <w:rPr>
              <w:rFonts w:ascii="Arial" w:hAnsi="Arial" w:cs="Arial"/>
              <w:b w:val="0"/>
              <w:i w:val="0"/>
              <w:sz w:val="16"/>
              <w:szCs w:val="16"/>
            </w:rPr>
          </w:pPr>
          <w:r>
            <w:rPr>
              <w:rFonts w:ascii="Arial" w:hAnsi="Arial" w:cs="Arial"/>
              <w:b w:val="0"/>
              <w:i w:val="0"/>
              <w:noProof/>
              <w:sz w:val="16"/>
              <w:szCs w:val="16"/>
            </w:rPr>
            <w:drawing>
              <wp:inline distT="0" distB="0" distL="0" distR="0" wp14:anchorId="45C8D7C1" wp14:editId="4509D45D">
                <wp:extent cx="1423035" cy="524510"/>
                <wp:effectExtent l="0" t="0" r="5715" b="8890"/>
                <wp:docPr id="53" name="Imagem 53" descr="GM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GM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3035" cy="524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47EB8114" w14:textId="77777777" w:rsidR="006859E1" w:rsidRDefault="006859E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57BD7D" w14:textId="77777777" w:rsidR="007A624D" w:rsidRDefault="007A624D">
      <w:r>
        <w:separator/>
      </w:r>
    </w:p>
  </w:footnote>
  <w:footnote w:type="continuationSeparator" w:id="0">
    <w:p w14:paraId="72F054B9" w14:textId="77777777" w:rsidR="007A624D" w:rsidRDefault="007A62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B2D95" w14:textId="079D4682" w:rsidR="0033664E" w:rsidRDefault="00A305E6" w:rsidP="006879D1">
    <w:pPr>
      <w:pStyle w:val="Cabealho"/>
    </w:pPr>
    <w:r>
      <w:rPr>
        <w:noProof/>
      </w:rPr>
      <w:drawing>
        <wp:inline distT="0" distB="0" distL="0" distR="0" wp14:anchorId="4AF892BD" wp14:editId="53D62994">
          <wp:extent cx="617846" cy="1207008"/>
          <wp:effectExtent l="0" t="0" r="0" b="0"/>
          <wp:docPr id="12" name="Imagem 12" descr="quadrilater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uadrilater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846" cy="12070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342FB5" w14:textId="77777777" w:rsidR="00F5700C" w:rsidRDefault="00F5700C" w:rsidP="00F5700C">
    <w:pPr>
      <w:pStyle w:val="Cabealho"/>
    </w:pPr>
    <w:r>
      <w:rPr>
        <w:noProof/>
      </w:rPr>
      <mc:AlternateContent>
        <mc:Choice Requires="wps">
          <w:drawing>
            <wp:anchor distT="45720" distB="45720" distL="114300" distR="114300" simplePos="0" relativeHeight="251659776" behindDoc="0" locked="0" layoutInCell="1" allowOverlap="1" wp14:anchorId="1E172A58" wp14:editId="2749B786">
              <wp:simplePos x="0" y="0"/>
              <wp:positionH relativeFrom="column">
                <wp:posOffset>903605</wp:posOffset>
              </wp:positionH>
              <wp:positionV relativeFrom="paragraph">
                <wp:posOffset>343535</wp:posOffset>
              </wp:positionV>
              <wp:extent cx="5640070" cy="987425"/>
              <wp:effectExtent l="0" t="0" r="0" b="3175"/>
              <wp:wrapSquare wrapText="bothSides"/>
              <wp:docPr id="1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40070" cy="987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9B59A0" w14:textId="23DC2E27" w:rsidR="00F5700C" w:rsidRPr="007368B5" w:rsidRDefault="00F1415A" w:rsidP="007368B5">
                          <w:pPr>
                            <w:jc w:val="both"/>
                            <w:rPr>
                              <w:color w:val="A6A6A6"/>
                              <w:sz w:val="18"/>
                              <w:szCs w:val="18"/>
                            </w:rPr>
                          </w:pPr>
                          <w:r>
                            <w:rPr>
                              <w:noProof/>
                              <w:color w:val="A6A6A6"/>
                              <w:sz w:val="18"/>
                              <w:szCs w:val="18"/>
                            </w:rPr>
                            <w:drawing>
                              <wp:inline distT="0" distB="0" distL="0" distR="0" wp14:anchorId="50E34A7C" wp14:editId="063DBDB9">
                                <wp:extent cx="5253355" cy="895985"/>
                                <wp:effectExtent l="0" t="0" r="4445" b="0"/>
                                <wp:docPr id="3" name="Imagem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Banner.CStreets.CEF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5253355" cy="89598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172A58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71.15pt;margin-top:27.05pt;width:444.1pt;height:77.7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BGbhwIAABUFAAAOAAAAZHJzL2Uyb0RvYy54bWysVNuO2yAQfa/Uf0C8Z32Rc7G1zqqbbapK&#10;24u02w+YGByj2kCBxN5W/fcOOMm6l4eqqh8wMMPhzMwZrm+GriVHbqxQsqTJVUwJl5ViQu5L+ulx&#10;O1tRYh1IBq2SvKRP3NKb9csX170ueKoa1TJuCIJIW/S6pI1zuogiWzW8A3ulNJdorJXpwOHS7CNm&#10;oEf0ro3SOF5EvTJMG1Vxa3H3bjTSdcCva165D3VtuSNtSZGbC6MJ486P0foair0B3YjqRAP+gUUH&#10;QuKlF6g7cEAORvwG1YnKKKtqd1WpLlJ1LSoeYsBokviXaB4a0DzEgsmx+pIm+/9gq/fHj4YIhrWj&#10;REKHJdqAGIAwTh754BRJfY56bQt0fdDo7IZbNXh/H6/V96r6bIlUmwbknr8yRvUNB4YcE38ymhwd&#10;cawH2fXvFMPL4OBUABpq03lATAlBdKzV06U+yINUuDlfZHG8RFOFtny1zNJ5uAKK82ltrHvDVUf8&#10;pKQG6x/Q4XhvnWcDxdklsFetYFvRtmFh9rtNa8gRUCvb8J3Q7dStld5ZKn9sRBx3kCTe4W2ebqj9&#10;tzxJs/g2zWfbxWo5y7bZfJYv49UsTvLbfBFneXa3/e4JJlnRCMa4vBeSn3WYZH9X51NHjAoKSiQ9&#10;5meO2QlxTdnbaZBx+P4UZCcctmUrupKuLk5Q+MK+lgzDhsKBaMd59DP9kGXMwfkfshJk4Cs/asAN&#10;uwFRvDZ2ij2hIIzCemFp8S3BSaPMV0p67MuS2i8HMJyS9q1EUeVJlvlGDotsvkxxYaaW3dQCskKo&#10;kjpKxunGjc1/0EbsG7xplLFUr1CItQgaeWZ1ki/2Xgjm9E745p6ug9fza7b+AQAA//8DAFBLAwQU&#10;AAYACAAAACEA/zJSGN8AAAALAQAADwAAAGRycy9kb3ducmV2LnhtbEyP0U6DQBBF3038h82Y+GLs&#10;bilQiyyNmmh8be0HDDAFIjtL2G2hf+/2yT7ezMm9Z/LtbHpxptF1ljUsFwoEcWXrjhsNh5/P5xcQ&#10;ziPX2FsmDRdysC3u73LMajvxjs5734hQwi5DDa33Qyalq1oy6BZ2IA63ox0N+hDHRtYjTqHc9DJS&#10;KpUGOw4LLQ700VL1uz8ZDcfv6SnZTOWXP6x3cfqO3bq0F60fH+a3VxCeZv8Pw1U/qEMRnEp74tqJ&#10;PuQ4WgVUQxIvQVwBtVIJiFJDpDYpyCKXtz8UfwAAAP//AwBQSwECLQAUAAYACAAAACEAtoM4kv4A&#10;AADhAQAAEwAAAAAAAAAAAAAAAAAAAAAAW0NvbnRlbnRfVHlwZXNdLnhtbFBLAQItABQABgAIAAAA&#10;IQA4/SH/1gAAAJQBAAALAAAAAAAAAAAAAAAAAC8BAABfcmVscy8ucmVsc1BLAQItABQABgAIAAAA&#10;IQBxxBGbhwIAABUFAAAOAAAAAAAAAAAAAAAAAC4CAABkcnMvZTJvRG9jLnhtbFBLAQItABQABgAI&#10;AAAAIQD/MlIY3wAAAAsBAAAPAAAAAAAAAAAAAAAAAOEEAABkcnMvZG93bnJldi54bWxQSwUGAAAA&#10;AAQABADzAAAA7QUAAAAA&#10;" stroked="f">
              <v:textbox>
                <w:txbxContent>
                  <w:p w14:paraId="219B59A0" w14:textId="23DC2E27" w:rsidR="00F5700C" w:rsidRPr="007368B5" w:rsidRDefault="00F1415A" w:rsidP="007368B5">
                    <w:pPr>
                      <w:jc w:val="both"/>
                      <w:rPr>
                        <w:color w:val="A6A6A6"/>
                        <w:sz w:val="18"/>
                        <w:szCs w:val="18"/>
                      </w:rPr>
                    </w:pPr>
                    <w:r>
                      <w:rPr>
                        <w:noProof/>
                        <w:color w:val="A6A6A6"/>
                        <w:sz w:val="18"/>
                        <w:szCs w:val="18"/>
                      </w:rPr>
                      <w:drawing>
                        <wp:inline distT="0" distB="0" distL="0" distR="0" wp14:anchorId="50E34A7C" wp14:editId="063DBDB9">
                          <wp:extent cx="5253355" cy="895985"/>
                          <wp:effectExtent l="0" t="0" r="4445" b="0"/>
                          <wp:docPr id="3" name="Image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Banner.CStreets.CEF.jp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5253355" cy="89598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5AD3DECF" wp14:editId="0D179B38">
          <wp:extent cx="683895" cy="1336040"/>
          <wp:effectExtent l="0" t="0" r="1905" b="0"/>
          <wp:docPr id="2" name="Imagem 2" descr="quadrilater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uadrilatero_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" cy="1336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CC1749A" w14:textId="77777777" w:rsidR="00F5700C" w:rsidRDefault="00F5700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E2A93"/>
    <w:multiLevelType w:val="hybridMultilevel"/>
    <w:tmpl w:val="D5C0E24C"/>
    <w:lvl w:ilvl="0" w:tplc="C34602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533238"/>
    <w:multiLevelType w:val="hybridMultilevel"/>
    <w:tmpl w:val="CABC13CA"/>
    <w:lvl w:ilvl="0" w:tplc="7FF45BF2">
      <w:start w:val="1"/>
      <w:numFmt w:val="lowerLetter"/>
      <w:pStyle w:val="Bullet2"/>
      <w:lvlText w:val="%1)"/>
      <w:lvlJc w:val="left"/>
      <w:pPr>
        <w:ind w:left="1429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149" w:hanging="360"/>
      </w:pPr>
    </w:lvl>
    <w:lvl w:ilvl="2" w:tplc="0816001B" w:tentative="1">
      <w:start w:val="1"/>
      <w:numFmt w:val="lowerRoman"/>
      <w:lvlText w:val="%3."/>
      <w:lvlJc w:val="right"/>
      <w:pPr>
        <w:ind w:left="2869" w:hanging="180"/>
      </w:pPr>
    </w:lvl>
    <w:lvl w:ilvl="3" w:tplc="0816000F" w:tentative="1">
      <w:start w:val="1"/>
      <w:numFmt w:val="decimal"/>
      <w:lvlText w:val="%4."/>
      <w:lvlJc w:val="left"/>
      <w:pPr>
        <w:ind w:left="3589" w:hanging="360"/>
      </w:pPr>
    </w:lvl>
    <w:lvl w:ilvl="4" w:tplc="08160019" w:tentative="1">
      <w:start w:val="1"/>
      <w:numFmt w:val="lowerLetter"/>
      <w:lvlText w:val="%5."/>
      <w:lvlJc w:val="left"/>
      <w:pPr>
        <w:ind w:left="4309" w:hanging="360"/>
      </w:pPr>
    </w:lvl>
    <w:lvl w:ilvl="5" w:tplc="0816001B" w:tentative="1">
      <w:start w:val="1"/>
      <w:numFmt w:val="lowerRoman"/>
      <w:lvlText w:val="%6."/>
      <w:lvlJc w:val="right"/>
      <w:pPr>
        <w:ind w:left="5029" w:hanging="180"/>
      </w:pPr>
    </w:lvl>
    <w:lvl w:ilvl="6" w:tplc="0816000F" w:tentative="1">
      <w:start w:val="1"/>
      <w:numFmt w:val="decimal"/>
      <w:lvlText w:val="%7."/>
      <w:lvlJc w:val="left"/>
      <w:pPr>
        <w:ind w:left="5749" w:hanging="360"/>
      </w:pPr>
    </w:lvl>
    <w:lvl w:ilvl="7" w:tplc="08160019" w:tentative="1">
      <w:start w:val="1"/>
      <w:numFmt w:val="lowerLetter"/>
      <w:lvlText w:val="%8."/>
      <w:lvlJc w:val="left"/>
      <w:pPr>
        <w:ind w:left="6469" w:hanging="360"/>
      </w:pPr>
    </w:lvl>
    <w:lvl w:ilvl="8" w:tplc="08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EDF0377"/>
    <w:multiLevelType w:val="hybridMultilevel"/>
    <w:tmpl w:val="33F6D2C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01E4F"/>
    <w:multiLevelType w:val="multilevel"/>
    <w:tmpl w:val="361C5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C42E86"/>
    <w:multiLevelType w:val="hybridMultilevel"/>
    <w:tmpl w:val="361C5A14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444DB6"/>
    <w:multiLevelType w:val="hybridMultilevel"/>
    <w:tmpl w:val="FD6A662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4E392C"/>
    <w:multiLevelType w:val="hybridMultilevel"/>
    <w:tmpl w:val="9A8460E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A54E8E"/>
    <w:multiLevelType w:val="hybridMultilevel"/>
    <w:tmpl w:val="D01425BC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694A83"/>
    <w:multiLevelType w:val="hybridMultilevel"/>
    <w:tmpl w:val="91CCD9CA"/>
    <w:lvl w:ilvl="0" w:tplc="C34602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953FCB"/>
    <w:multiLevelType w:val="hybridMultilevel"/>
    <w:tmpl w:val="B50E7C2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31462F"/>
    <w:multiLevelType w:val="hybridMultilevel"/>
    <w:tmpl w:val="9A3C6F5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204008"/>
    <w:multiLevelType w:val="hybridMultilevel"/>
    <w:tmpl w:val="02F4854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3323B3"/>
    <w:multiLevelType w:val="hybridMultilevel"/>
    <w:tmpl w:val="6E066C3A"/>
    <w:lvl w:ilvl="0" w:tplc="0AB4EA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FA256C"/>
    <w:multiLevelType w:val="hybridMultilevel"/>
    <w:tmpl w:val="E640D440"/>
    <w:lvl w:ilvl="0" w:tplc="0EF2D5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5C0776"/>
    <w:multiLevelType w:val="hybridMultilevel"/>
    <w:tmpl w:val="C28293CE"/>
    <w:lvl w:ilvl="0" w:tplc="08160017">
      <w:start w:val="1"/>
      <w:numFmt w:val="lowerLetter"/>
      <w:lvlText w:val="%1)"/>
      <w:lvlJc w:val="left"/>
      <w:pPr>
        <w:ind w:left="1146" w:hanging="360"/>
      </w:pPr>
    </w:lvl>
    <w:lvl w:ilvl="1" w:tplc="08160019" w:tentative="1">
      <w:start w:val="1"/>
      <w:numFmt w:val="lowerLetter"/>
      <w:lvlText w:val="%2."/>
      <w:lvlJc w:val="left"/>
      <w:pPr>
        <w:ind w:left="1866" w:hanging="360"/>
      </w:pPr>
    </w:lvl>
    <w:lvl w:ilvl="2" w:tplc="0816001B" w:tentative="1">
      <w:start w:val="1"/>
      <w:numFmt w:val="lowerRoman"/>
      <w:lvlText w:val="%3."/>
      <w:lvlJc w:val="right"/>
      <w:pPr>
        <w:ind w:left="2586" w:hanging="180"/>
      </w:pPr>
    </w:lvl>
    <w:lvl w:ilvl="3" w:tplc="0816000F" w:tentative="1">
      <w:start w:val="1"/>
      <w:numFmt w:val="decimal"/>
      <w:lvlText w:val="%4."/>
      <w:lvlJc w:val="left"/>
      <w:pPr>
        <w:ind w:left="3306" w:hanging="360"/>
      </w:pPr>
    </w:lvl>
    <w:lvl w:ilvl="4" w:tplc="08160019" w:tentative="1">
      <w:start w:val="1"/>
      <w:numFmt w:val="lowerLetter"/>
      <w:lvlText w:val="%5."/>
      <w:lvlJc w:val="left"/>
      <w:pPr>
        <w:ind w:left="4026" w:hanging="360"/>
      </w:pPr>
    </w:lvl>
    <w:lvl w:ilvl="5" w:tplc="0816001B" w:tentative="1">
      <w:start w:val="1"/>
      <w:numFmt w:val="lowerRoman"/>
      <w:lvlText w:val="%6."/>
      <w:lvlJc w:val="right"/>
      <w:pPr>
        <w:ind w:left="4746" w:hanging="180"/>
      </w:pPr>
    </w:lvl>
    <w:lvl w:ilvl="6" w:tplc="0816000F" w:tentative="1">
      <w:start w:val="1"/>
      <w:numFmt w:val="decimal"/>
      <w:lvlText w:val="%7."/>
      <w:lvlJc w:val="left"/>
      <w:pPr>
        <w:ind w:left="5466" w:hanging="360"/>
      </w:pPr>
    </w:lvl>
    <w:lvl w:ilvl="7" w:tplc="08160019" w:tentative="1">
      <w:start w:val="1"/>
      <w:numFmt w:val="lowerLetter"/>
      <w:lvlText w:val="%8."/>
      <w:lvlJc w:val="left"/>
      <w:pPr>
        <w:ind w:left="6186" w:hanging="360"/>
      </w:pPr>
    </w:lvl>
    <w:lvl w:ilvl="8" w:tplc="08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54E40829"/>
    <w:multiLevelType w:val="hybridMultilevel"/>
    <w:tmpl w:val="BFA0E02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4678B5"/>
    <w:multiLevelType w:val="hybridMultilevel"/>
    <w:tmpl w:val="0C8EEDD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50CE7"/>
    <w:multiLevelType w:val="hybridMultilevel"/>
    <w:tmpl w:val="36FE3518"/>
    <w:lvl w:ilvl="0" w:tplc="C34602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E35917"/>
    <w:multiLevelType w:val="hybridMultilevel"/>
    <w:tmpl w:val="8A6CC65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8921AD"/>
    <w:multiLevelType w:val="hybridMultilevel"/>
    <w:tmpl w:val="13CE03A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A347EB"/>
    <w:multiLevelType w:val="hybridMultilevel"/>
    <w:tmpl w:val="8A9E607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235811"/>
    <w:multiLevelType w:val="hybridMultilevel"/>
    <w:tmpl w:val="9D1E2E3E"/>
    <w:lvl w:ilvl="0" w:tplc="EC40EC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0"/>
  </w:num>
  <w:num w:numId="5">
    <w:abstractNumId w:val="17"/>
  </w:num>
  <w:num w:numId="6">
    <w:abstractNumId w:val="13"/>
    <w:lvlOverride w:ilvl="0">
      <w:startOverride w:val="1"/>
    </w:lvlOverride>
  </w:num>
  <w:num w:numId="7">
    <w:abstractNumId w:val="1"/>
  </w:num>
  <w:num w:numId="8">
    <w:abstractNumId w:val="13"/>
    <w:lvlOverride w:ilvl="0">
      <w:startOverride w:val="1"/>
    </w:lvlOverride>
  </w:num>
  <w:num w:numId="9">
    <w:abstractNumId w:val="13"/>
    <w:lvlOverride w:ilvl="0">
      <w:startOverride w:val="1"/>
    </w:lvlOverride>
  </w:num>
  <w:num w:numId="10">
    <w:abstractNumId w:val="9"/>
  </w:num>
  <w:num w:numId="11">
    <w:abstractNumId w:val="15"/>
  </w:num>
  <w:num w:numId="12">
    <w:abstractNumId w:val="11"/>
  </w:num>
  <w:num w:numId="13">
    <w:abstractNumId w:val="16"/>
  </w:num>
  <w:num w:numId="14">
    <w:abstractNumId w:val="1"/>
    <w:lvlOverride w:ilvl="0">
      <w:startOverride w:val="1"/>
    </w:lvlOverride>
  </w:num>
  <w:num w:numId="15">
    <w:abstractNumId w:val="2"/>
  </w:num>
  <w:num w:numId="16">
    <w:abstractNumId w:val="6"/>
  </w:num>
  <w:num w:numId="17">
    <w:abstractNumId w:val="19"/>
  </w:num>
  <w:num w:numId="18">
    <w:abstractNumId w:val="20"/>
  </w:num>
  <w:num w:numId="19">
    <w:abstractNumId w:val="18"/>
  </w:num>
  <w:num w:numId="20">
    <w:abstractNumId w:val="21"/>
  </w:num>
  <w:num w:numId="21">
    <w:abstractNumId w:val="12"/>
  </w:num>
  <w:num w:numId="22">
    <w:abstractNumId w:val="1"/>
    <w:lvlOverride w:ilvl="0">
      <w:startOverride w:val="1"/>
    </w:lvlOverride>
  </w:num>
  <w:num w:numId="23">
    <w:abstractNumId w:val="1"/>
    <w:lvlOverride w:ilvl="0">
      <w:startOverride w:val="1"/>
    </w:lvlOverride>
  </w:num>
  <w:num w:numId="24">
    <w:abstractNumId w:val="10"/>
  </w:num>
  <w:num w:numId="25">
    <w:abstractNumId w:val="7"/>
  </w:num>
  <w:num w:numId="26">
    <w:abstractNumId w:val="5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CBA"/>
    <w:rsid w:val="000152ED"/>
    <w:rsid w:val="0001624F"/>
    <w:rsid w:val="000219A2"/>
    <w:rsid w:val="000311D0"/>
    <w:rsid w:val="00060891"/>
    <w:rsid w:val="0006236A"/>
    <w:rsid w:val="00067F19"/>
    <w:rsid w:val="0007189B"/>
    <w:rsid w:val="000952B6"/>
    <w:rsid w:val="000974D5"/>
    <w:rsid w:val="000A5CF9"/>
    <w:rsid w:val="000B6C40"/>
    <w:rsid w:val="000C1E8E"/>
    <w:rsid w:val="000E36AC"/>
    <w:rsid w:val="000F202E"/>
    <w:rsid w:val="000F4994"/>
    <w:rsid w:val="00124861"/>
    <w:rsid w:val="001567C5"/>
    <w:rsid w:val="00180206"/>
    <w:rsid w:val="00192BAE"/>
    <w:rsid w:val="00195B8E"/>
    <w:rsid w:val="001B4919"/>
    <w:rsid w:val="001C3DE8"/>
    <w:rsid w:val="001E1563"/>
    <w:rsid w:val="001E43C6"/>
    <w:rsid w:val="00201DC6"/>
    <w:rsid w:val="002164B8"/>
    <w:rsid w:val="002213B6"/>
    <w:rsid w:val="00250DA8"/>
    <w:rsid w:val="00252486"/>
    <w:rsid w:val="002604AD"/>
    <w:rsid w:val="0027010D"/>
    <w:rsid w:val="00270A03"/>
    <w:rsid w:val="0027423F"/>
    <w:rsid w:val="00274CAD"/>
    <w:rsid w:val="00282F31"/>
    <w:rsid w:val="00287654"/>
    <w:rsid w:val="002A2C00"/>
    <w:rsid w:val="002B4488"/>
    <w:rsid w:val="002B4E07"/>
    <w:rsid w:val="002E6E36"/>
    <w:rsid w:val="002F7A72"/>
    <w:rsid w:val="003243F7"/>
    <w:rsid w:val="00332BAC"/>
    <w:rsid w:val="0033586C"/>
    <w:rsid w:val="0033664E"/>
    <w:rsid w:val="00336A38"/>
    <w:rsid w:val="003519DD"/>
    <w:rsid w:val="00385D8F"/>
    <w:rsid w:val="003A2A95"/>
    <w:rsid w:val="003C4173"/>
    <w:rsid w:val="003D6250"/>
    <w:rsid w:val="003D7868"/>
    <w:rsid w:val="003E1F1B"/>
    <w:rsid w:val="003E319D"/>
    <w:rsid w:val="003F1FFD"/>
    <w:rsid w:val="004008DD"/>
    <w:rsid w:val="0040524F"/>
    <w:rsid w:val="00420934"/>
    <w:rsid w:val="00421743"/>
    <w:rsid w:val="00434090"/>
    <w:rsid w:val="004354A2"/>
    <w:rsid w:val="00436786"/>
    <w:rsid w:val="00441DCF"/>
    <w:rsid w:val="00447852"/>
    <w:rsid w:val="00450D12"/>
    <w:rsid w:val="0045610D"/>
    <w:rsid w:val="00457D96"/>
    <w:rsid w:val="00472F59"/>
    <w:rsid w:val="00481B92"/>
    <w:rsid w:val="00482ADE"/>
    <w:rsid w:val="00490426"/>
    <w:rsid w:val="004A1067"/>
    <w:rsid w:val="004B632F"/>
    <w:rsid w:val="004C5001"/>
    <w:rsid w:val="004D75F7"/>
    <w:rsid w:val="004D7994"/>
    <w:rsid w:val="004F1314"/>
    <w:rsid w:val="004F1F4C"/>
    <w:rsid w:val="004F7D13"/>
    <w:rsid w:val="00500EF9"/>
    <w:rsid w:val="0051202B"/>
    <w:rsid w:val="0051738B"/>
    <w:rsid w:val="00536C54"/>
    <w:rsid w:val="00541991"/>
    <w:rsid w:val="00545506"/>
    <w:rsid w:val="00563615"/>
    <w:rsid w:val="005662CB"/>
    <w:rsid w:val="00590D5B"/>
    <w:rsid w:val="00594026"/>
    <w:rsid w:val="00595866"/>
    <w:rsid w:val="005A42BF"/>
    <w:rsid w:val="005A5120"/>
    <w:rsid w:val="005B1312"/>
    <w:rsid w:val="005C2621"/>
    <w:rsid w:val="005C576E"/>
    <w:rsid w:val="005C7968"/>
    <w:rsid w:val="005C7C7F"/>
    <w:rsid w:val="005E7433"/>
    <w:rsid w:val="005F428B"/>
    <w:rsid w:val="00602E5A"/>
    <w:rsid w:val="00604F0F"/>
    <w:rsid w:val="006072E6"/>
    <w:rsid w:val="00614296"/>
    <w:rsid w:val="00630660"/>
    <w:rsid w:val="006321E8"/>
    <w:rsid w:val="00651DD6"/>
    <w:rsid w:val="006610D0"/>
    <w:rsid w:val="00676E36"/>
    <w:rsid w:val="00676FE9"/>
    <w:rsid w:val="006859E1"/>
    <w:rsid w:val="006879D1"/>
    <w:rsid w:val="006956BD"/>
    <w:rsid w:val="00696BAD"/>
    <w:rsid w:val="006A5876"/>
    <w:rsid w:val="006B5CBA"/>
    <w:rsid w:val="006B77D5"/>
    <w:rsid w:val="006C61C0"/>
    <w:rsid w:val="006E1A4B"/>
    <w:rsid w:val="006E57E1"/>
    <w:rsid w:val="006F1E1C"/>
    <w:rsid w:val="00706239"/>
    <w:rsid w:val="00721D59"/>
    <w:rsid w:val="007368B5"/>
    <w:rsid w:val="00757721"/>
    <w:rsid w:val="00764A15"/>
    <w:rsid w:val="00777784"/>
    <w:rsid w:val="0079375D"/>
    <w:rsid w:val="00796958"/>
    <w:rsid w:val="007A624D"/>
    <w:rsid w:val="007B206A"/>
    <w:rsid w:val="007B67A5"/>
    <w:rsid w:val="007B7C5E"/>
    <w:rsid w:val="007C50CB"/>
    <w:rsid w:val="007D3462"/>
    <w:rsid w:val="007F3657"/>
    <w:rsid w:val="007F620F"/>
    <w:rsid w:val="007F700A"/>
    <w:rsid w:val="00803D1A"/>
    <w:rsid w:val="0080656C"/>
    <w:rsid w:val="0081481F"/>
    <w:rsid w:val="008454CC"/>
    <w:rsid w:val="00872CD9"/>
    <w:rsid w:val="008747F5"/>
    <w:rsid w:val="00876BC6"/>
    <w:rsid w:val="0088282C"/>
    <w:rsid w:val="00885091"/>
    <w:rsid w:val="008A3DE4"/>
    <w:rsid w:val="008A4116"/>
    <w:rsid w:val="008A5C0E"/>
    <w:rsid w:val="008B585D"/>
    <w:rsid w:val="008B69D1"/>
    <w:rsid w:val="008C22A4"/>
    <w:rsid w:val="008C4E70"/>
    <w:rsid w:val="008E4D19"/>
    <w:rsid w:val="008E7744"/>
    <w:rsid w:val="009015A9"/>
    <w:rsid w:val="00904DC4"/>
    <w:rsid w:val="009170B6"/>
    <w:rsid w:val="009211EB"/>
    <w:rsid w:val="00943470"/>
    <w:rsid w:val="009509F6"/>
    <w:rsid w:val="00950F00"/>
    <w:rsid w:val="0096383B"/>
    <w:rsid w:val="009709D9"/>
    <w:rsid w:val="00970E25"/>
    <w:rsid w:val="0098144B"/>
    <w:rsid w:val="009921D8"/>
    <w:rsid w:val="0099298A"/>
    <w:rsid w:val="00995135"/>
    <w:rsid w:val="009A3533"/>
    <w:rsid w:val="009B3B8E"/>
    <w:rsid w:val="009D31CC"/>
    <w:rsid w:val="009E44DA"/>
    <w:rsid w:val="009F4965"/>
    <w:rsid w:val="00A15258"/>
    <w:rsid w:val="00A20EAB"/>
    <w:rsid w:val="00A305E6"/>
    <w:rsid w:val="00A30E13"/>
    <w:rsid w:val="00A314FD"/>
    <w:rsid w:val="00A411AA"/>
    <w:rsid w:val="00A4218F"/>
    <w:rsid w:val="00A459A5"/>
    <w:rsid w:val="00A521D4"/>
    <w:rsid w:val="00A5326C"/>
    <w:rsid w:val="00A66721"/>
    <w:rsid w:val="00A731EA"/>
    <w:rsid w:val="00A919A3"/>
    <w:rsid w:val="00AB0902"/>
    <w:rsid w:val="00AC5119"/>
    <w:rsid w:val="00AD0952"/>
    <w:rsid w:val="00AD0E7B"/>
    <w:rsid w:val="00AD5874"/>
    <w:rsid w:val="00AF309B"/>
    <w:rsid w:val="00B00688"/>
    <w:rsid w:val="00B06189"/>
    <w:rsid w:val="00B14352"/>
    <w:rsid w:val="00B16F07"/>
    <w:rsid w:val="00B36320"/>
    <w:rsid w:val="00B40122"/>
    <w:rsid w:val="00B40F2C"/>
    <w:rsid w:val="00B46B5B"/>
    <w:rsid w:val="00B653AB"/>
    <w:rsid w:val="00B677FB"/>
    <w:rsid w:val="00B8164A"/>
    <w:rsid w:val="00B820C3"/>
    <w:rsid w:val="00B832A3"/>
    <w:rsid w:val="00B91EBA"/>
    <w:rsid w:val="00BA16EA"/>
    <w:rsid w:val="00BB5DD5"/>
    <w:rsid w:val="00BC3D67"/>
    <w:rsid w:val="00BC5932"/>
    <w:rsid w:val="00BD0442"/>
    <w:rsid w:val="00BE0FB4"/>
    <w:rsid w:val="00BE43E0"/>
    <w:rsid w:val="00BF1124"/>
    <w:rsid w:val="00BF16CE"/>
    <w:rsid w:val="00BF4424"/>
    <w:rsid w:val="00C005D6"/>
    <w:rsid w:val="00C145D0"/>
    <w:rsid w:val="00C27010"/>
    <w:rsid w:val="00C315F6"/>
    <w:rsid w:val="00C31B78"/>
    <w:rsid w:val="00C464EF"/>
    <w:rsid w:val="00C50F14"/>
    <w:rsid w:val="00C575E0"/>
    <w:rsid w:val="00C86F79"/>
    <w:rsid w:val="00C90378"/>
    <w:rsid w:val="00CC5702"/>
    <w:rsid w:val="00CC5774"/>
    <w:rsid w:val="00CC675D"/>
    <w:rsid w:val="00CE7938"/>
    <w:rsid w:val="00D04207"/>
    <w:rsid w:val="00D1306D"/>
    <w:rsid w:val="00D157A1"/>
    <w:rsid w:val="00D25187"/>
    <w:rsid w:val="00D32225"/>
    <w:rsid w:val="00D404ED"/>
    <w:rsid w:val="00D464E4"/>
    <w:rsid w:val="00D519A3"/>
    <w:rsid w:val="00D72E20"/>
    <w:rsid w:val="00D80E26"/>
    <w:rsid w:val="00D817A4"/>
    <w:rsid w:val="00D8416A"/>
    <w:rsid w:val="00D91D53"/>
    <w:rsid w:val="00D91DF9"/>
    <w:rsid w:val="00DB11F5"/>
    <w:rsid w:val="00DB448A"/>
    <w:rsid w:val="00DD1925"/>
    <w:rsid w:val="00DD3E21"/>
    <w:rsid w:val="00DD6232"/>
    <w:rsid w:val="00DE0945"/>
    <w:rsid w:val="00DF3187"/>
    <w:rsid w:val="00E041E7"/>
    <w:rsid w:val="00E05512"/>
    <w:rsid w:val="00E060AB"/>
    <w:rsid w:val="00E25BDC"/>
    <w:rsid w:val="00E266AA"/>
    <w:rsid w:val="00E30D3F"/>
    <w:rsid w:val="00E551B7"/>
    <w:rsid w:val="00E72A00"/>
    <w:rsid w:val="00E7345C"/>
    <w:rsid w:val="00E73A3C"/>
    <w:rsid w:val="00E74522"/>
    <w:rsid w:val="00E81391"/>
    <w:rsid w:val="00E93194"/>
    <w:rsid w:val="00E97B80"/>
    <w:rsid w:val="00EC3B9C"/>
    <w:rsid w:val="00ED3299"/>
    <w:rsid w:val="00EE49EC"/>
    <w:rsid w:val="00F1415A"/>
    <w:rsid w:val="00F21619"/>
    <w:rsid w:val="00F244A7"/>
    <w:rsid w:val="00F25D7D"/>
    <w:rsid w:val="00F302D2"/>
    <w:rsid w:val="00F4120D"/>
    <w:rsid w:val="00F425B6"/>
    <w:rsid w:val="00F4672D"/>
    <w:rsid w:val="00F5700C"/>
    <w:rsid w:val="00F65488"/>
    <w:rsid w:val="00F82DCD"/>
    <w:rsid w:val="00F93992"/>
    <w:rsid w:val="00F94769"/>
    <w:rsid w:val="00F947EF"/>
    <w:rsid w:val="00FA4786"/>
    <w:rsid w:val="00FB7FA9"/>
    <w:rsid w:val="00FC4080"/>
    <w:rsid w:val="00FE2963"/>
    <w:rsid w:val="00FF6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B78381"/>
  <w15:chartTrackingRefBased/>
  <w15:docId w15:val="{EC36E75F-9378-4227-A6C3-316CBC76A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56BD"/>
    <w:rPr>
      <w:sz w:val="24"/>
      <w:szCs w:val="24"/>
    </w:rPr>
  </w:style>
  <w:style w:type="paragraph" w:styleId="Cabealho1">
    <w:name w:val="heading 1"/>
    <w:basedOn w:val="Normal"/>
    <w:next w:val="Normal"/>
    <w:link w:val="Cabealho1Carter"/>
    <w:qFormat/>
    <w:rsid w:val="001E156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Cabealho2">
    <w:name w:val="heading 2"/>
    <w:basedOn w:val="Normal"/>
    <w:next w:val="Normal"/>
    <w:link w:val="Cabealho2Carter"/>
    <w:semiHidden/>
    <w:unhideWhenUsed/>
    <w:qFormat/>
    <w:rsid w:val="001E156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51">
    <w:name w:val="Título 51"/>
    <w:basedOn w:val="Normal"/>
    <w:next w:val="Normal"/>
    <w:link w:val="Ttulo5Carcter"/>
    <w:qFormat/>
    <w:rsid w:val="007F620F"/>
    <w:pPr>
      <w:keepNext/>
      <w:outlineLvl w:val="4"/>
    </w:pPr>
    <w:rPr>
      <w:rFonts w:ascii="Tahoma" w:hAnsi="Tahoma"/>
      <w:b/>
      <w:bCs/>
      <w:sz w:val="18"/>
      <w:szCs w:val="20"/>
    </w:rPr>
  </w:style>
  <w:style w:type="paragraph" w:styleId="Cabealho">
    <w:name w:val="header"/>
    <w:basedOn w:val="Normal"/>
    <w:link w:val="CabealhoCarter"/>
    <w:rsid w:val="00E72A0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ter"/>
    <w:rsid w:val="00E72A00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uiPriority w:val="59"/>
    <w:rsid w:val="00E72A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ter"/>
    <w:qFormat/>
    <w:rsid w:val="00E72A00"/>
    <w:pPr>
      <w:jc w:val="center"/>
    </w:pPr>
    <w:rPr>
      <w:b/>
      <w:i/>
      <w:sz w:val="32"/>
      <w:szCs w:val="20"/>
    </w:rPr>
  </w:style>
  <w:style w:type="paragraph" w:styleId="Textodebalo">
    <w:name w:val="Balloon Text"/>
    <w:basedOn w:val="Normal"/>
    <w:semiHidden/>
    <w:rsid w:val="00252486"/>
    <w:rPr>
      <w:rFonts w:ascii="Tahoma" w:hAnsi="Tahoma" w:cs="Tahoma"/>
      <w:sz w:val="16"/>
      <w:szCs w:val="16"/>
    </w:rPr>
  </w:style>
  <w:style w:type="character" w:customStyle="1" w:styleId="Ttulo5Carcter">
    <w:name w:val="Título 5 Carácter"/>
    <w:link w:val="Ttulo51"/>
    <w:rsid w:val="007F620F"/>
    <w:rPr>
      <w:rFonts w:ascii="Tahoma" w:hAnsi="Tahoma"/>
      <w:b/>
      <w:bCs/>
      <w:sz w:val="18"/>
    </w:rPr>
  </w:style>
  <w:style w:type="character" w:customStyle="1" w:styleId="CabealhoCarter">
    <w:name w:val="Cabeçalho Caráter"/>
    <w:link w:val="Cabealho"/>
    <w:rsid w:val="007F620F"/>
    <w:rPr>
      <w:sz w:val="24"/>
      <w:szCs w:val="24"/>
    </w:rPr>
  </w:style>
  <w:style w:type="character" w:customStyle="1" w:styleId="RodapCarter">
    <w:name w:val="Rodapé Caráter"/>
    <w:link w:val="Rodap"/>
    <w:rsid w:val="007F3657"/>
    <w:rPr>
      <w:sz w:val="24"/>
      <w:szCs w:val="24"/>
    </w:rPr>
  </w:style>
  <w:style w:type="character" w:customStyle="1" w:styleId="TtuloCarter">
    <w:name w:val="Título Caráter"/>
    <w:link w:val="Ttulo"/>
    <w:rsid w:val="007F3657"/>
    <w:rPr>
      <w:b/>
      <w:i/>
      <w:sz w:val="32"/>
    </w:rPr>
  </w:style>
  <w:style w:type="character" w:customStyle="1" w:styleId="Cabealho1Carter">
    <w:name w:val="Cabeçalho 1 Caráter"/>
    <w:link w:val="Cabealho1"/>
    <w:rsid w:val="001E1563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Cabealho2Carter">
    <w:name w:val="Cabeçalho 2 Caráter"/>
    <w:link w:val="Cabealho2"/>
    <w:semiHidden/>
    <w:rsid w:val="001E1563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Bullet2">
    <w:name w:val="Bullet_2"/>
    <w:basedOn w:val="Normal"/>
    <w:qFormat/>
    <w:rsid w:val="001E1563"/>
    <w:pPr>
      <w:numPr>
        <w:numId w:val="7"/>
      </w:numPr>
      <w:tabs>
        <w:tab w:val="num" w:pos="720"/>
      </w:tabs>
      <w:autoSpaceDE w:val="0"/>
      <w:autoSpaceDN w:val="0"/>
      <w:adjustRightInd w:val="0"/>
      <w:spacing w:before="120" w:after="120" w:line="280" w:lineRule="exact"/>
      <w:ind w:left="720"/>
      <w:jc w:val="both"/>
    </w:pPr>
    <w:rPr>
      <w:rFonts w:ascii="Calibri" w:eastAsia="Calibri" w:hAnsi="Calibri" w:cs="Calibri Light"/>
      <w:color w:val="000000"/>
      <w:sz w:val="22"/>
      <w:szCs w:val="22"/>
      <w:lang w:eastAsia="en-US"/>
    </w:rPr>
  </w:style>
  <w:style w:type="character" w:styleId="Refdecomentrio">
    <w:name w:val="annotation reference"/>
    <w:rsid w:val="00BC3D67"/>
    <w:rPr>
      <w:sz w:val="16"/>
      <w:szCs w:val="16"/>
    </w:rPr>
  </w:style>
  <w:style w:type="paragraph" w:styleId="Textodecomentrio">
    <w:name w:val="annotation text"/>
    <w:basedOn w:val="Normal"/>
    <w:link w:val="TextodecomentrioCarter"/>
    <w:rsid w:val="00BC3D67"/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BC3D67"/>
  </w:style>
  <w:style w:type="paragraph" w:styleId="Assuntodecomentrio">
    <w:name w:val="annotation subject"/>
    <w:basedOn w:val="Textodecomentrio"/>
    <w:next w:val="Textodecomentrio"/>
    <w:link w:val="AssuntodecomentrioCarter"/>
    <w:rsid w:val="00BC3D67"/>
    <w:rPr>
      <w:b/>
      <w:bCs/>
    </w:rPr>
  </w:style>
  <w:style w:type="character" w:customStyle="1" w:styleId="AssuntodecomentrioCarter">
    <w:name w:val="Assunto de comentário Caráter"/>
    <w:link w:val="Assuntodecomentrio"/>
    <w:rsid w:val="00BC3D67"/>
    <w:rPr>
      <w:b/>
      <w:bCs/>
    </w:rPr>
  </w:style>
  <w:style w:type="paragraph" w:styleId="PargrafodaLista">
    <w:name w:val="List Paragraph"/>
    <w:basedOn w:val="Normal"/>
    <w:uiPriority w:val="34"/>
    <w:qFormat/>
    <w:rsid w:val="006B77D5"/>
    <w:pPr>
      <w:ind w:left="720"/>
      <w:contextualSpacing/>
    </w:pPr>
  </w:style>
  <w:style w:type="paragraph" w:styleId="ndice1">
    <w:name w:val="toc 1"/>
    <w:basedOn w:val="Normal"/>
    <w:next w:val="Normal"/>
    <w:autoRedefine/>
    <w:uiPriority w:val="39"/>
    <w:rsid w:val="00201DC6"/>
    <w:pPr>
      <w:spacing w:after="100"/>
    </w:pPr>
  </w:style>
  <w:style w:type="paragraph" w:styleId="ndice2">
    <w:name w:val="toc 2"/>
    <w:basedOn w:val="Normal"/>
    <w:next w:val="Normal"/>
    <w:autoRedefine/>
    <w:uiPriority w:val="39"/>
    <w:rsid w:val="00201DC6"/>
    <w:pPr>
      <w:spacing w:after="100"/>
      <w:ind w:left="240"/>
    </w:pPr>
  </w:style>
  <w:style w:type="character" w:styleId="Hiperligao">
    <w:name w:val="Hyperlink"/>
    <w:basedOn w:val="Tipodeletrapredefinidodopargrafo"/>
    <w:uiPriority w:val="99"/>
    <w:unhideWhenUsed/>
    <w:rsid w:val="00201D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4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image" Target="media/image20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p\Documents\QUAD\QUAD-PROPOSTA%20CE1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QUAD-PROPOSTA CE1</Template>
  <TotalTime>312</TotalTime>
  <Pages>9</Pages>
  <Words>3292</Words>
  <Characters>17781</Characters>
  <Application>Microsoft Office Word</Application>
  <DocSecurity>0</DocSecurity>
  <Lines>148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Acção Preparatória</vt:lpstr>
    </vt:vector>
  </TitlesOfParts>
  <Company>Quadrilátero</Company>
  <LinksUpToDate>false</LinksUpToDate>
  <CharactersWithSpaces>21031</CharactersWithSpaces>
  <SharedDoc>false</SharedDoc>
  <HLinks>
    <vt:vector size="162" baseType="variant">
      <vt:variant>
        <vt:i4>2555908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_Toc5272603</vt:lpwstr>
      </vt:variant>
      <vt:variant>
        <vt:i4>2555908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_Toc5272602</vt:lpwstr>
      </vt:variant>
      <vt:variant>
        <vt:i4>2555908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_Toc5272601</vt:lpwstr>
      </vt:variant>
      <vt:variant>
        <vt:i4>2555908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_Toc5272600</vt:lpwstr>
      </vt:variant>
      <vt:variant>
        <vt:i4>3014663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_Toc5272599</vt:lpwstr>
      </vt:variant>
      <vt:variant>
        <vt:i4>3014663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_Toc5272598</vt:lpwstr>
      </vt:variant>
      <vt:variant>
        <vt:i4>3014663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_Toc5272597</vt:lpwstr>
      </vt:variant>
      <vt:variant>
        <vt:i4>3014663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_Toc5272596</vt:lpwstr>
      </vt:variant>
      <vt:variant>
        <vt:i4>3014663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_Toc5272595</vt:lpwstr>
      </vt:variant>
      <vt:variant>
        <vt:i4>3014663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_Toc5272594</vt:lpwstr>
      </vt:variant>
      <vt:variant>
        <vt:i4>3014663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_Toc5272593</vt:lpwstr>
      </vt:variant>
      <vt:variant>
        <vt:i4>3014663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_Toc5272592</vt:lpwstr>
      </vt:variant>
      <vt:variant>
        <vt:i4>3014663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_Toc5272591</vt:lpwstr>
      </vt:variant>
      <vt:variant>
        <vt:i4>3014663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_Toc5272590</vt:lpwstr>
      </vt:variant>
      <vt:variant>
        <vt:i4>3080199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_Toc5272589</vt:lpwstr>
      </vt:variant>
      <vt:variant>
        <vt:i4>3080199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_Toc5272588</vt:lpwstr>
      </vt:variant>
      <vt:variant>
        <vt:i4>3080199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_Toc5272587</vt:lpwstr>
      </vt:variant>
      <vt:variant>
        <vt:i4>3080199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_Toc5272586</vt:lpwstr>
      </vt:variant>
      <vt:variant>
        <vt:i4>3080199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_Toc5272585</vt:lpwstr>
      </vt:variant>
      <vt:variant>
        <vt:i4>3080199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_Toc5272584</vt:lpwstr>
      </vt:variant>
      <vt:variant>
        <vt:i4>3080199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_Toc5272583</vt:lpwstr>
      </vt:variant>
      <vt:variant>
        <vt:i4>3080199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_Toc5272582</vt:lpwstr>
      </vt:variant>
      <vt:variant>
        <vt:i4>3080199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_Toc5272581</vt:lpwstr>
      </vt:variant>
      <vt:variant>
        <vt:i4>3080199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_Toc5272580</vt:lpwstr>
      </vt:variant>
      <vt:variant>
        <vt:i4>2097159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_Toc5272579</vt:lpwstr>
      </vt:variant>
      <vt:variant>
        <vt:i4>2097159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_Toc5272578</vt:lpwstr>
      </vt:variant>
      <vt:variant>
        <vt:i4>2097159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_Toc5272577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Acção Preparatória</dc:title>
  <dc:subject/>
  <dc:creator>nac-Quadrilátero</dc:creator>
  <cp:keywords/>
  <cp:lastModifiedBy>Nuno Alexandre Cunha</cp:lastModifiedBy>
  <cp:revision>113</cp:revision>
  <cp:lastPrinted>2016-02-02T09:11:00Z</cp:lastPrinted>
  <dcterms:created xsi:type="dcterms:W3CDTF">2020-07-09T15:08:00Z</dcterms:created>
  <dcterms:modified xsi:type="dcterms:W3CDTF">2020-08-09T15:03:00Z</dcterms:modified>
</cp:coreProperties>
</file>